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17357">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7</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06964</w:t>
      </w:r>
      <w:bookmarkStart w:id="2" w:name="_GoBack"/>
      <w:bookmarkEnd w:id="2"/>
    </w:p>
    <w:p w14:paraId="50E4BCD2">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 xml:space="preserve">Maastricht, </w:t>
      </w:r>
      <w:r>
        <w:rPr>
          <w:rFonts w:hint="eastAsia" w:ascii="Arial" w:hAnsi="Arial" w:eastAsia="宋体" w:cs="Arial"/>
          <w:b/>
          <w:bCs/>
          <w:kern w:val="0"/>
          <w:sz w:val="24"/>
          <w:szCs w:val="24"/>
          <w:lang w:val="en-US" w:eastAsia="zh-CN"/>
        </w:rPr>
        <w:t>NL,</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August</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3</w:t>
      </w:r>
      <w:r>
        <w:rPr>
          <w:rFonts w:hint="eastAsia" w:ascii="Arial" w:hAnsi="Arial" w:eastAsia="宋体" w:cs="Arial"/>
          <w:b/>
          <w:bCs/>
          <w:kern w:val="0"/>
          <w:sz w:val="24"/>
          <w:szCs w:val="24"/>
          <w:vertAlign w:val="superscript"/>
          <w:lang w:val="en-US" w:eastAsia="zh-CN"/>
        </w:rPr>
        <w:t>rd</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2A90150E">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83F8DDE">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BD6B871">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AD873E8">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6A96620B">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2DCC0A67">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C06AE45">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3C8B454F">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previous meeting [1,2], RAN2 discussed the NW side data collection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411ACE8E">
      <w:pPr>
        <w:pStyle w:val="26"/>
        <w:pBdr>
          <w:top w:val="single" w:color="auto" w:sz="4" w:space="1"/>
          <w:left w:val="single" w:color="auto" w:sz="4" w:space="4"/>
          <w:bottom w:val="single" w:color="auto" w:sz="4" w:space="1"/>
          <w:right w:val="single" w:color="auto" w:sz="4" w:space="4"/>
        </w:pBdr>
        <w:rPr>
          <w:rFonts w:hint="default" w:ascii="Arial" w:hAnsi="Arial" w:cs="Arial"/>
          <w:b/>
          <w:bCs/>
          <w:sz w:val="20"/>
          <w:szCs w:val="22"/>
        </w:rPr>
      </w:pPr>
      <w:r>
        <w:rPr>
          <w:rFonts w:hint="default" w:ascii="Arial" w:hAnsi="Arial" w:cs="Arial"/>
          <w:b/>
          <w:bCs/>
          <w:sz w:val="20"/>
          <w:szCs w:val="22"/>
        </w:rPr>
        <w:t>Agreements</w:t>
      </w:r>
    </w:p>
    <w:p w14:paraId="7F53776E">
      <w:pPr>
        <w:pStyle w:val="26"/>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1</w:t>
      </w:r>
      <w:r>
        <w:rPr>
          <w:rFonts w:hint="default" w:ascii="Arial" w:hAnsi="Arial" w:cs="Arial"/>
          <w:sz w:val="20"/>
          <w:szCs w:val="22"/>
        </w:rPr>
        <w:tab/>
      </w:r>
      <w:r>
        <w:rPr>
          <w:rFonts w:hint="default" w:ascii="Arial" w:hAnsi="Arial" w:cs="Arial"/>
          <w:sz w:val="20"/>
          <w:szCs w:val="22"/>
        </w:rPr>
        <w:t>For the NW-side data collection related to beam management use cases, RAN2 to consider gNB-centric and OAM-centric approaches</w:t>
      </w:r>
      <w:r>
        <w:rPr>
          <w:rFonts w:hint="default" w:ascii="Arial" w:hAnsi="Arial" w:cs="Arial"/>
          <w:sz w:val="20"/>
          <w:szCs w:val="22"/>
        </w:rPr>
        <w:tab/>
      </w:r>
    </w:p>
    <w:p w14:paraId="256C7EE6">
      <w:pPr>
        <w:pStyle w:val="26"/>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2</w:t>
      </w:r>
      <w:r>
        <w:rPr>
          <w:rFonts w:hint="default" w:ascii="Arial" w:hAnsi="Arial" w:cs="Arial"/>
          <w:sz w:val="20"/>
          <w:szCs w:val="22"/>
        </w:rPr>
        <w:tab/>
      </w:r>
      <w:r>
        <w:rPr>
          <w:rFonts w:hint="default" w:ascii="Arial" w:hAnsi="Arial" w:cs="Arial"/>
          <w:sz w:val="20"/>
          <w:szCs w:val="22"/>
          <w:highlight w:val="none"/>
        </w:rPr>
        <w:t>We aim that the same measurement framework is applied to both gNB-centric data collection and OAM-centric data collection for NW-side data collection.</w:t>
      </w:r>
    </w:p>
    <w:p w14:paraId="4009C55B">
      <w:pPr>
        <w:pStyle w:val="26"/>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3</w:t>
      </w:r>
      <w:r>
        <w:rPr>
          <w:rFonts w:hint="default" w:ascii="Arial" w:hAnsi="Arial" w:cs="Arial"/>
          <w:sz w:val="20"/>
          <w:szCs w:val="22"/>
        </w:rPr>
        <w:tab/>
      </w:r>
      <w:r>
        <w:rPr>
          <w:rFonts w:hint="default" w:ascii="Arial" w:hAnsi="Arial" w:cs="Arial"/>
          <w:sz w:val="20"/>
          <w:szCs w:val="22"/>
        </w:rPr>
        <w:t>RAN2 supports enhancements to MDT for data collection framework for training.  FSS Whether to enhance logged or immediate MDT</w:t>
      </w:r>
    </w:p>
    <w:p w14:paraId="7CA9D82C">
      <w:pPr>
        <w:pStyle w:val="26"/>
        <w:pBdr>
          <w:top w:val="single" w:color="auto" w:sz="4" w:space="1"/>
          <w:left w:val="single" w:color="auto" w:sz="4" w:space="4"/>
          <w:bottom w:val="single" w:color="auto" w:sz="4" w:space="1"/>
          <w:right w:val="single" w:color="auto" w:sz="4" w:space="4"/>
        </w:pBdr>
        <w:rPr>
          <w:rFonts w:hint="default" w:ascii="Arial" w:hAnsi="Arial" w:cs="Arial"/>
          <w:b/>
          <w:bCs/>
          <w:sz w:val="20"/>
          <w:szCs w:val="22"/>
        </w:rPr>
      </w:pPr>
      <w:r>
        <w:rPr>
          <w:rFonts w:hint="default" w:ascii="Arial" w:hAnsi="Arial" w:cs="Arial"/>
          <w:b/>
          <w:bCs/>
          <w:sz w:val="20"/>
          <w:szCs w:val="22"/>
        </w:rPr>
        <w:t>Agreements</w:t>
      </w:r>
    </w:p>
    <w:p w14:paraId="0DB7026F">
      <w:pPr>
        <w:pStyle w:val="26"/>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 xml:space="preserve">1. </w:t>
      </w:r>
      <w:r>
        <w:rPr>
          <w:rFonts w:hint="default" w:ascii="Arial" w:hAnsi="Arial" w:cs="Arial"/>
          <w:sz w:val="20"/>
          <w:szCs w:val="22"/>
          <w:lang w:val="en-US"/>
        </w:rPr>
        <w:tab/>
      </w:r>
      <w:r>
        <w:rPr>
          <w:rFonts w:hint="default" w:ascii="Arial" w:hAnsi="Arial" w:cs="Arial"/>
          <w:sz w:val="20"/>
          <w:szCs w:val="22"/>
          <w:lang w:val="en-US"/>
        </w:rPr>
        <w:t xml:space="preserve">For gNB centric and OAM centric (for RRC signaling between UE and gNB), reporting multiple instances of logged L1 measurement result from UE to gNB via a RRC message as configured by gNB is an optional feature.  </w:t>
      </w:r>
      <w:r>
        <w:rPr>
          <w:rFonts w:hint="default" w:ascii="Arial" w:hAnsi="Arial" w:cs="Arial"/>
          <w:sz w:val="20"/>
          <w:szCs w:val="22"/>
          <w:highlight w:val="none"/>
          <w:lang w:val="en-US"/>
        </w:rPr>
        <w:t>FFS how to handle case when single RRC message is not sufficient.</w:t>
      </w:r>
      <w:r>
        <w:rPr>
          <w:rFonts w:hint="default" w:ascii="Arial" w:hAnsi="Arial" w:cs="Arial"/>
          <w:sz w:val="20"/>
          <w:szCs w:val="22"/>
          <w:lang w:val="en-US"/>
        </w:rPr>
        <w:t xml:space="preserve">   FFS if there will be any further enhancement needed pending RAN1 agreement.  </w:t>
      </w:r>
    </w:p>
    <w:p w14:paraId="51899AB3">
      <w:pPr>
        <w:pStyle w:val="26"/>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2.</w:t>
      </w:r>
      <w:r>
        <w:rPr>
          <w:rFonts w:hint="default" w:ascii="Arial" w:hAnsi="Arial" w:cs="Arial"/>
          <w:sz w:val="20"/>
          <w:szCs w:val="22"/>
          <w:lang w:val="en-US"/>
        </w:rPr>
        <w:tab/>
      </w:r>
      <w:r>
        <w:rPr>
          <w:rFonts w:hint="default" w:ascii="Arial" w:hAnsi="Arial" w:cs="Arial"/>
          <w:sz w:val="20"/>
          <w:szCs w:val="22"/>
          <w:lang w:val="en-US"/>
        </w:rPr>
        <w:t>Immediate MDT is the baseline framework for OAM-centric data collection for the training of a network-sided model</w:t>
      </w:r>
    </w:p>
    <w:p w14:paraId="3EF5B90E">
      <w:pPr>
        <w:pStyle w:val="26"/>
        <w:pBdr>
          <w:top w:val="single" w:color="auto" w:sz="4" w:space="1"/>
          <w:left w:val="single" w:color="auto" w:sz="4" w:space="4"/>
          <w:bottom w:val="single" w:color="auto" w:sz="4" w:space="1"/>
          <w:right w:val="single" w:color="auto" w:sz="4" w:space="4"/>
        </w:pBdr>
        <w:rPr>
          <w:rFonts w:hint="default" w:ascii="Arial" w:hAnsi="Arial" w:eastAsia="宋体" w:cs="Arial"/>
          <w:sz w:val="20"/>
          <w:szCs w:val="22"/>
          <w:lang w:val="en-US" w:eastAsia="zh-CN"/>
        </w:rPr>
      </w:pPr>
      <w:r>
        <w:rPr>
          <w:rFonts w:hint="default" w:ascii="Arial" w:hAnsi="Arial" w:cs="Arial"/>
          <w:sz w:val="20"/>
          <w:szCs w:val="22"/>
          <w:lang w:val="en-US"/>
        </w:rPr>
        <w:t>3.</w:t>
      </w:r>
      <w:r>
        <w:rPr>
          <w:rFonts w:hint="default" w:ascii="Arial" w:hAnsi="Arial" w:cs="Arial"/>
          <w:sz w:val="20"/>
          <w:szCs w:val="22"/>
          <w:lang w:val="en-US"/>
        </w:rPr>
        <w:tab/>
      </w:r>
      <w:r>
        <w:rPr>
          <w:rFonts w:hint="default" w:ascii="Arial" w:hAnsi="Arial" w:cs="Arial"/>
          <w:sz w:val="20"/>
          <w:szCs w:val="22"/>
          <w:lang w:val="en-US"/>
        </w:rPr>
        <w:t xml:space="preserve">Enhance the immediate MDT framework to support periodical reporting.   </w:t>
      </w:r>
      <w:r>
        <w:rPr>
          <w:rFonts w:hint="default" w:ascii="Arial" w:hAnsi="Arial" w:cs="Arial"/>
          <w:sz w:val="20"/>
          <w:szCs w:val="22"/>
          <w:highlight w:val="none"/>
          <w:lang w:val="en-US"/>
        </w:rPr>
        <w:t>FFS whether and what event-based reporting is supported and FFS on network request reporting</w:t>
      </w:r>
    </w:p>
    <w:p w14:paraId="0CD5768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discuss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the mechanisms for NW side data collection</w:t>
      </w:r>
      <w:r>
        <w:rPr>
          <w:rFonts w:ascii="Arial" w:hAnsi="Arial" w:eastAsia="宋体" w:cs="Arial"/>
          <w:kern w:val="0"/>
          <w:sz w:val="20"/>
          <w:szCs w:val="20"/>
          <w:lang w:val="en-GB"/>
        </w:rPr>
        <w:t>.</w:t>
      </w:r>
    </w:p>
    <w:p w14:paraId="385CCF9D">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3BE3FD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Beam management with gNB-sided model</w:t>
      </w:r>
    </w:p>
    <w:p w14:paraId="6693BAC5">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In last meeting, RAN2 agreed to take immediate MDT as baseline for OAM-centric data collection. The legacy immediate MDT procedure is illustrated in Fig.1. It is noted that OAM will check user consent for data collection firstly, and then MDT configuration will be sent to gNB.</w:t>
      </w:r>
    </w:p>
    <w:p w14:paraId="49972B9B">
      <w:pPr>
        <w:numPr>
          <w:ilvl w:val="0"/>
          <w:numId w:val="0"/>
        </w:numPr>
        <w:spacing w:before="120" w:beforeLines="50" w:after="120" w:line="240" w:lineRule="auto"/>
        <w:jc w:val="center"/>
        <w:rPr>
          <w:rFonts w:hint="eastAsia" w:ascii="Arial" w:hAnsi="Arial" w:eastAsia="宋体" w:cs="Arial"/>
          <w:b w:val="0"/>
          <w:bCs w:val="0"/>
          <w:sz w:val="20"/>
          <w:szCs w:val="20"/>
          <w:lang w:val="en-US" w:eastAsia="zh-CN"/>
        </w:rPr>
      </w:pPr>
      <w:r>
        <w:object>
          <v:shape id="_x0000_i1025" o:spt="75" type="#_x0000_t75" style="height:175.95pt;width:305.85pt;" o:ole="t" filled="f" o:preferrelative="t" stroked="f" coordsize="21600,21600">
            <v:path/>
            <v:fill on="f" focussize="0,0"/>
            <v:stroke on="f"/>
            <v:imagedata r:id="rId5" croptop="2938f" cropright="4827f" cropbottom="4014f" o:title=""/>
            <o:lock v:ext="edit" aspectratio="t"/>
            <w10:wrap type="none"/>
            <w10:anchorlock/>
          </v:shape>
          <o:OLEObject Type="Embed" ProgID="Visio.Drawing.15" ShapeID="_x0000_i1025" DrawAspect="Content" ObjectID="_1468075725" r:id="rId4">
            <o:LockedField>false</o:LockedField>
          </o:OLEObject>
        </w:object>
      </w:r>
    </w:p>
    <w:p w14:paraId="79374306">
      <w:pPr>
        <w:numPr>
          <w:ilvl w:val="0"/>
          <w:numId w:val="0"/>
        </w:numPr>
        <w:spacing w:before="120" w:beforeLines="50" w:after="120" w:line="260" w:lineRule="exact"/>
        <w:jc w:val="center"/>
        <w:rPr>
          <w:rFonts w:hint="eastAsia" w:ascii="Arial" w:hAnsi="Arial" w:eastAsia="宋体" w:cs="Arial"/>
          <w:b/>
          <w:bCs/>
          <w:sz w:val="18"/>
          <w:szCs w:val="18"/>
          <w:highlight w:val="none"/>
          <w:lang w:val="en-US" w:eastAsia="zh-CN"/>
        </w:rPr>
      </w:pPr>
      <w:r>
        <w:rPr>
          <w:rFonts w:hint="eastAsia" w:ascii="Arial" w:hAnsi="Arial" w:eastAsia="宋体" w:cs="Arial"/>
          <w:b/>
          <w:bCs/>
          <w:sz w:val="18"/>
          <w:szCs w:val="18"/>
          <w:highlight w:val="none"/>
          <w:lang w:val="en-US" w:eastAsia="zh-CN"/>
        </w:rPr>
        <w:t>Figure 1. Basic procedure for immediate MDT</w:t>
      </w:r>
    </w:p>
    <w:p w14:paraId="6BD75B82">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However, for gNB-centric approach, data collection is initiated and terminated by itself, gNB has no user consent. For beam management use case, based on RAN1 LS reply on data collection [3], the contents of data collection for model training are L1-RSRPs and/or beam-IDs. In legacy mechanism, these data are reported by legacy CSI reporting with no user consent. For model training, RAN2 can discuss whether the collected data should to be authorized by user consent.</w:t>
      </w:r>
    </w:p>
    <w:tbl>
      <w:tblPr>
        <w:tblStyle w:val="15"/>
        <w:tblW w:w="987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2497"/>
        <w:gridCol w:w="1890"/>
        <w:gridCol w:w="1530"/>
        <w:gridCol w:w="1620"/>
      </w:tblGrid>
      <w:tr w14:paraId="621C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170" w:type="dxa"/>
            <w:shd w:val="clear" w:color="auto" w:fill="auto"/>
          </w:tcPr>
          <w:p w14:paraId="2A159DCB">
            <w:pPr>
              <w:spacing w:before="120" w:line="312" w:lineRule="auto"/>
              <w:rPr>
                <w:rFonts w:hint="default" w:ascii="Arial" w:hAnsi="Arial" w:eastAsia="宋体" w:cs="Arial"/>
                <w:b/>
                <w:sz w:val="20"/>
                <w:szCs w:val="21"/>
              </w:rPr>
            </w:pPr>
            <w:r>
              <w:rPr>
                <w:rFonts w:hint="default" w:ascii="Arial" w:hAnsi="Arial" w:eastAsia="宋体" w:cs="Arial"/>
                <w:b/>
                <w:bCs/>
                <w:sz w:val="20"/>
                <w:szCs w:val="21"/>
              </w:rPr>
              <w:t>LCM purpose</w:t>
            </w:r>
          </w:p>
        </w:tc>
        <w:tc>
          <w:tcPr>
            <w:tcW w:w="1170" w:type="dxa"/>
            <w:shd w:val="clear" w:color="auto" w:fill="auto"/>
          </w:tcPr>
          <w:p w14:paraId="2D299CE0">
            <w:pPr>
              <w:spacing w:before="120" w:line="312" w:lineRule="auto"/>
              <w:rPr>
                <w:rFonts w:hint="default" w:ascii="Arial" w:hAnsi="Arial" w:eastAsia="宋体" w:cs="Arial"/>
                <w:b/>
                <w:bCs/>
                <w:sz w:val="20"/>
                <w:szCs w:val="21"/>
              </w:rPr>
            </w:pPr>
            <w:r>
              <w:rPr>
                <w:rFonts w:hint="default" w:ascii="Arial" w:hAnsi="Arial" w:eastAsia="宋体" w:cs="Arial"/>
                <w:b/>
                <w:bCs/>
                <w:sz w:val="20"/>
                <w:szCs w:val="21"/>
              </w:rPr>
              <w:t>UE-side/NW-side models</w:t>
            </w:r>
          </w:p>
        </w:tc>
        <w:tc>
          <w:tcPr>
            <w:tcW w:w="2497" w:type="dxa"/>
            <w:shd w:val="clear" w:color="auto" w:fill="auto"/>
          </w:tcPr>
          <w:p w14:paraId="20563466">
            <w:pPr>
              <w:spacing w:before="120" w:line="312" w:lineRule="auto"/>
              <w:rPr>
                <w:rFonts w:hint="default" w:ascii="Arial" w:hAnsi="Arial" w:eastAsia="宋体" w:cs="Arial"/>
                <w:b/>
                <w:sz w:val="20"/>
                <w:szCs w:val="21"/>
              </w:rPr>
            </w:pPr>
            <w:r>
              <w:rPr>
                <w:rFonts w:hint="default" w:ascii="Arial" w:hAnsi="Arial" w:eastAsia="宋体" w:cs="Arial"/>
                <w:b/>
                <w:sz w:val="20"/>
                <w:szCs w:val="21"/>
              </w:rPr>
              <w:t>Data content</w:t>
            </w:r>
          </w:p>
        </w:tc>
        <w:tc>
          <w:tcPr>
            <w:tcW w:w="1890" w:type="dxa"/>
            <w:shd w:val="clear" w:color="auto" w:fill="auto"/>
          </w:tcPr>
          <w:p w14:paraId="47B65A62">
            <w:pPr>
              <w:spacing w:before="120" w:line="312" w:lineRule="auto"/>
              <w:rPr>
                <w:rFonts w:hint="default" w:ascii="Arial" w:hAnsi="Arial" w:eastAsia="宋体" w:cs="Arial"/>
                <w:b/>
                <w:sz w:val="20"/>
                <w:szCs w:val="21"/>
              </w:rPr>
            </w:pPr>
            <w:r>
              <w:rPr>
                <w:rFonts w:hint="default" w:ascii="Arial" w:hAnsi="Arial" w:eastAsia="宋体" w:cs="Arial"/>
                <w:b/>
                <w:bCs/>
                <w:sz w:val="20"/>
                <w:szCs w:val="21"/>
              </w:rPr>
              <w:t>Typical data size (per data sample)</w:t>
            </w:r>
          </w:p>
        </w:tc>
        <w:tc>
          <w:tcPr>
            <w:tcW w:w="1530" w:type="dxa"/>
            <w:shd w:val="clear" w:color="auto" w:fill="auto"/>
          </w:tcPr>
          <w:p w14:paraId="2D832AD8">
            <w:pPr>
              <w:spacing w:before="120" w:line="312" w:lineRule="auto"/>
              <w:rPr>
                <w:rFonts w:hint="default" w:ascii="Arial" w:hAnsi="Arial" w:eastAsia="宋体" w:cs="Arial"/>
                <w:b/>
                <w:sz w:val="20"/>
                <w:szCs w:val="21"/>
              </w:rPr>
            </w:pPr>
            <w:r>
              <w:rPr>
                <w:rFonts w:hint="default" w:ascii="Arial" w:hAnsi="Arial" w:eastAsia="宋体" w:cs="Arial"/>
                <w:b/>
                <w:sz w:val="20"/>
                <w:szCs w:val="21"/>
              </w:rPr>
              <w:t>Typical latency requirement</w:t>
            </w:r>
          </w:p>
        </w:tc>
        <w:tc>
          <w:tcPr>
            <w:tcW w:w="1620" w:type="dxa"/>
            <w:shd w:val="clear" w:color="auto" w:fill="auto"/>
          </w:tcPr>
          <w:p w14:paraId="714265B3">
            <w:pPr>
              <w:spacing w:before="120" w:line="312" w:lineRule="auto"/>
              <w:rPr>
                <w:rFonts w:hint="default" w:ascii="Arial" w:hAnsi="Arial" w:eastAsia="宋体" w:cs="Arial"/>
                <w:b/>
                <w:bCs/>
                <w:sz w:val="20"/>
                <w:szCs w:val="21"/>
              </w:rPr>
            </w:pPr>
            <w:r>
              <w:rPr>
                <w:rFonts w:hint="default" w:ascii="Arial" w:hAnsi="Arial" w:eastAsia="宋体" w:cs="Arial"/>
                <w:b/>
                <w:bCs/>
                <w:sz w:val="20"/>
                <w:szCs w:val="21"/>
              </w:rPr>
              <w:t>Notes</w:t>
            </w:r>
          </w:p>
        </w:tc>
      </w:tr>
      <w:tr w14:paraId="1764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170" w:type="dxa"/>
            <w:shd w:val="clear" w:color="auto" w:fill="auto"/>
          </w:tcPr>
          <w:p w14:paraId="1BC8FD8E">
            <w:pPr>
              <w:spacing w:before="120" w:line="312" w:lineRule="auto"/>
              <w:rPr>
                <w:rFonts w:hint="default" w:ascii="Arial" w:hAnsi="Arial" w:eastAsia="宋体" w:cs="Arial"/>
                <w:sz w:val="20"/>
                <w:szCs w:val="21"/>
              </w:rPr>
            </w:pPr>
            <w:r>
              <w:rPr>
                <w:rFonts w:hint="default" w:ascii="Arial" w:hAnsi="Arial" w:eastAsia="宋体" w:cs="Arial"/>
                <w:sz w:val="20"/>
                <w:szCs w:val="21"/>
              </w:rPr>
              <w:t>Training</w:t>
            </w:r>
          </w:p>
        </w:tc>
        <w:tc>
          <w:tcPr>
            <w:tcW w:w="1170" w:type="dxa"/>
            <w:shd w:val="clear" w:color="auto" w:fill="auto"/>
          </w:tcPr>
          <w:p w14:paraId="7CAF543D">
            <w:pPr>
              <w:spacing w:before="120" w:line="312" w:lineRule="auto"/>
              <w:rPr>
                <w:rFonts w:hint="default" w:ascii="Arial" w:hAnsi="Arial" w:eastAsia="宋体" w:cs="Arial"/>
                <w:sz w:val="20"/>
                <w:szCs w:val="21"/>
              </w:rPr>
            </w:pPr>
            <w:r>
              <w:rPr>
                <w:rFonts w:hint="default" w:ascii="Arial" w:hAnsi="Arial" w:eastAsia="宋体" w:cs="Arial"/>
                <w:sz w:val="20"/>
                <w:szCs w:val="21"/>
              </w:rPr>
              <w:t>UE-side, NW-side</w:t>
            </w:r>
          </w:p>
        </w:tc>
        <w:tc>
          <w:tcPr>
            <w:tcW w:w="2497" w:type="dxa"/>
            <w:shd w:val="clear" w:color="auto" w:fill="auto"/>
          </w:tcPr>
          <w:p w14:paraId="51FF6C2A">
            <w:pPr>
              <w:spacing w:before="120" w:line="312" w:lineRule="auto"/>
              <w:rPr>
                <w:rFonts w:hint="default" w:ascii="Arial" w:hAnsi="Arial" w:eastAsia="宋体" w:cs="Arial"/>
                <w:sz w:val="20"/>
                <w:szCs w:val="21"/>
              </w:rPr>
            </w:pPr>
            <w:r>
              <w:rPr>
                <w:rFonts w:hint="default" w:ascii="Arial" w:hAnsi="Arial" w:eastAsia="宋体" w:cs="Arial"/>
                <w:sz w:val="20"/>
                <w:szCs w:val="21"/>
              </w:rPr>
              <w:t>L1-RSRPs and/or beam-IDs</w:t>
            </w:r>
          </w:p>
        </w:tc>
        <w:tc>
          <w:tcPr>
            <w:tcW w:w="1890" w:type="dxa"/>
            <w:shd w:val="clear" w:color="auto" w:fill="auto"/>
          </w:tcPr>
          <w:p w14:paraId="7FD14D5F">
            <w:pPr>
              <w:spacing w:before="120" w:line="312" w:lineRule="auto"/>
              <w:rPr>
                <w:rFonts w:hint="default" w:ascii="Arial" w:hAnsi="Arial" w:eastAsia="宋体" w:cs="Arial"/>
                <w:sz w:val="20"/>
                <w:szCs w:val="21"/>
              </w:rPr>
            </w:pPr>
            <w:r>
              <w:rPr>
                <w:rFonts w:hint="default" w:ascii="Arial" w:hAnsi="Arial" w:eastAsia="宋体" w:cs="Arial"/>
                <w:sz w:val="20"/>
                <w:szCs w:val="21"/>
              </w:rPr>
              <w:t>See Note 1 for L1-RSRPs</w:t>
            </w:r>
          </w:p>
        </w:tc>
        <w:tc>
          <w:tcPr>
            <w:tcW w:w="1530" w:type="dxa"/>
            <w:shd w:val="clear" w:color="auto" w:fill="auto"/>
          </w:tcPr>
          <w:p w14:paraId="4CE0AB6E">
            <w:pPr>
              <w:spacing w:before="120" w:line="312" w:lineRule="auto"/>
              <w:rPr>
                <w:rFonts w:hint="default" w:ascii="Arial" w:hAnsi="Arial" w:eastAsia="宋体" w:cs="Arial"/>
                <w:sz w:val="20"/>
                <w:szCs w:val="21"/>
              </w:rPr>
            </w:pPr>
            <w:r>
              <w:rPr>
                <w:rFonts w:hint="default" w:ascii="Arial" w:hAnsi="Arial" w:eastAsia="宋体" w:cs="Arial"/>
                <w:sz w:val="20"/>
                <w:szCs w:val="21"/>
              </w:rPr>
              <w:t>Relaxed</w:t>
            </w:r>
          </w:p>
        </w:tc>
        <w:tc>
          <w:tcPr>
            <w:tcW w:w="1620" w:type="dxa"/>
            <w:shd w:val="clear" w:color="auto" w:fill="auto"/>
          </w:tcPr>
          <w:p w14:paraId="6F669CC9">
            <w:pPr>
              <w:spacing w:before="120" w:line="312" w:lineRule="auto"/>
              <w:rPr>
                <w:rFonts w:hint="default" w:ascii="Arial" w:hAnsi="Arial" w:eastAsia="宋体" w:cs="Arial"/>
                <w:sz w:val="20"/>
                <w:szCs w:val="21"/>
              </w:rPr>
            </w:pPr>
          </w:p>
        </w:tc>
      </w:tr>
      <w:tr w14:paraId="3A36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877" w:type="dxa"/>
            <w:gridSpan w:val="6"/>
            <w:shd w:val="clear" w:color="auto" w:fill="auto"/>
          </w:tcPr>
          <w:p w14:paraId="4E87ED3F">
            <w:pPr>
              <w:spacing w:before="120" w:line="312" w:lineRule="auto"/>
              <w:rPr>
                <w:rFonts w:hint="default" w:ascii="Arial" w:hAnsi="Arial" w:eastAsia="宋体" w:cs="Arial"/>
                <w:sz w:val="20"/>
                <w:szCs w:val="21"/>
                <w:lang w:val="en-US" w:eastAsia="zh-CN"/>
              </w:rPr>
            </w:pPr>
            <w:r>
              <w:rPr>
                <w:rFonts w:hint="default" w:ascii="Arial" w:hAnsi="Arial" w:eastAsia="宋体" w:cs="Arial"/>
                <w:sz w:val="20"/>
                <w:szCs w:val="21"/>
                <w:lang w:val="en-US" w:eastAsia="zh-CN"/>
              </w:rPr>
              <w:t>&lt;omitted&gt;</w:t>
            </w:r>
          </w:p>
        </w:tc>
      </w:tr>
      <w:tr w14:paraId="45E6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9877" w:type="dxa"/>
            <w:gridSpan w:val="6"/>
            <w:shd w:val="clear" w:color="auto" w:fill="auto"/>
          </w:tcPr>
          <w:p w14:paraId="6D648213">
            <w:pPr>
              <w:rPr>
                <w:rFonts w:hint="default" w:ascii="Arial" w:hAnsi="Arial" w:cs="Arial"/>
                <w:sz w:val="20"/>
                <w:szCs w:val="21"/>
              </w:rPr>
            </w:pPr>
            <w:r>
              <w:rPr>
                <w:rFonts w:hint="default" w:ascii="Arial" w:hAnsi="Arial" w:cs="Arial"/>
                <w:sz w:val="20"/>
                <w:szCs w:val="21"/>
              </w:rPr>
              <w:t xml:space="preserve">Note 1: There is no agreement on the data size of L1-RSRPs for Set A or Set B, but the following typical data size is provided as guidance for RAN2 discussion. </w:t>
            </w:r>
            <w:r>
              <w:rPr>
                <w:rFonts w:hint="default" w:ascii="Arial" w:hAnsi="Arial" w:cs="Arial"/>
                <w:sz w:val="20"/>
                <w:szCs w:val="21"/>
                <w:highlight w:val="yellow"/>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w:t>
            </w:r>
            <w:r>
              <w:rPr>
                <w:rFonts w:hint="default" w:ascii="Arial" w:hAnsi="Arial" w:cs="Arial"/>
                <w:sz w:val="20"/>
                <w:szCs w:val="21"/>
              </w:rPr>
              <w:t xml:space="preserve"> </w:t>
            </w:r>
            <w:r>
              <w:rPr>
                <w:rFonts w:hint="default" w:ascii="Arial" w:hAnsi="Arial" w:eastAsia="宋体" w:cs="Arial"/>
                <w:sz w:val="20"/>
                <w:szCs w:val="21"/>
                <w:highlight w:val="green"/>
              </w:rPr>
              <w:t>For BM Case 2, the data size L1-RSRPs for Set A and Set B represents the data size per predicted future time instance and per history measurement time instance, respectively. Payload size may not be fixed.</w:t>
            </w:r>
          </w:p>
          <w:p w14:paraId="1573F228">
            <w:pPr>
              <w:spacing w:before="120" w:line="312" w:lineRule="auto"/>
              <w:rPr>
                <w:rFonts w:hint="default" w:ascii="Arial" w:hAnsi="Arial" w:eastAsia="宋体" w:cs="Arial"/>
                <w:sz w:val="20"/>
                <w:szCs w:val="21"/>
              </w:rPr>
            </w:pPr>
            <w:r>
              <w:rPr>
                <w:rFonts w:hint="default" w:ascii="Arial" w:hAnsi="Arial" w:eastAsia="宋体" w:cs="Arial"/>
                <w:sz w:val="20"/>
                <w:szCs w:val="21"/>
                <w:lang w:val="en-US" w:eastAsia="zh-CN"/>
              </w:rPr>
              <w:t>&lt;omitted&gt;</w:t>
            </w:r>
          </w:p>
        </w:tc>
      </w:tr>
    </w:tbl>
    <w:p w14:paraId="5F934566">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1: For gNB-centric approach for beam management use case, RAN2 to discuss whether the collected data for model training (e.g. L1-RSRPs and/or beam-IDs) should to be authorized by user consent.</w:t>
      </w:r>
    </w:p>
    <w:p w14:paraId="33C4941C">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In last meeting, RAN2 agreed to report multiple instances of logged L1 measurement result from UE to gNB via a RRC message as configured by gNB is an optional feature. And it was agreed to </w:t>
      </w:r>
      <w:r>
        <w:rPr>
          <w:rFonts w:hint="default" w:ascii="Arial" w:hAnsi="Arial" w:cs="Arial"/>
          <w:sz w:val="20"/>
          <w:szCs w:val="22"/>
          <w:lang w:val="en-US"/>
        </w:rPr>
        <w:t>support periodical reporting</w:t>
      </w:r>
      <w:r>
        <w:rPr>
          <w:rFonts w:hint="eastAsia" w:ascii="Arial" w:hAnsi="Arial" w:cs="Arial"/>
          <w:sz w:val="20"/>
          <w:szCs w:val="22"/>
          <w:lang w:val="en-US" w:eastAsia="zh-CN"/>
        </w:rPr>
        <w:t xml:space="preserve">. </w:t>
      </w:r>
      <w:r>
        <w:rPr>
          <w:rFonts w:hint="eastAsia" w:ascii="Arial" w:hAnsi="Arial" w:eastAsia="宋体" w:cs="Arial"/>
          <w:b w:val="0"/>
          <w:bCs w:val="0"/>
          <w:sz w:val="20"/>
          <w:szCs w:val="20"/>
          <w:lang w:val="en-US" w:eastAsia="zh-CN"/>
        </w:rPr>
        <w:t xml:space="preserve">The basic procedure for enhanced immediate MDT is illustrated in Fig.2. But FFS how to handle case when single RRC message is not sufficient. </w:t>
      </w:r>
    </w:p>
    <w:p w14:paraId="1E2D283F">
      <w:pPr>
        <w:numPr>
          <w:ilvl w:val="0"/>
          <w:numId w:val="0"/>
        </w:numPr>
        <w:spacing w:before="120" w:beforeLines="50" w:after="120" w:line="240" w:lineRule="auto"/>
        <w:jc w:val="center"/>
      </w:pPr>
      <w:r>
        <w:object>
          <v:shape id="_x0000_i1026" o:spt="75" type="#_x0000_t75" style="height:175.95pt;width:305.85pt;" o:ole="t" filled="f" o:preferrelative="t" stroked="f" coordsize="21600,21600">
            <v:path/>
            <v:fill on="f" focussize="0,0"/>
            <v:stroke on="f"/>
            <v:imagedata r:id="rId7" croptop="2938f" cropright="4827f" cropbottom="4014f" o:title=""/>
            <o:lock v:ext="edit" aspectratio="t"/>
            <w10:wrap type="none"/>
            <w10:anchorlock/>
          </v:shape>
          <o:OLEObject Type="Embed" ProgID="Visio.Drawing.15" ShapeID="_x0000_i1026" DrawAspect="Content" ObjectID="_1468075726" r:id="rId6">
            <o:LockedField>false</o:LockedField>
          </o:OLEObject>
        </w:object>
      </w:r>
    </w:p>
    <w:p w14:paraId="0A108777">
      <w:pPr>
        <w:numPr>
          <w:ilvl w:val="0"/>
          <w:numId w:val="0"/>
        </w:numPr>
        <w:spacing w:before="120" w:beforeLines="50" w:after="120" w:line="240" w:lineRule="auto"/>
        <w:jc w:val="center"/>
        <w:rPr>
          <w:rFonts w:hint="eastAsia" w:ascii="Arial" w:hAnsi="Arial" w:eastAsia="宋体" w:cs="Arial"/>
          <w:b/>
          <w:bCs/>
          <w:sz w:val="18"/>
          <w:szCs w:val="18"/>
          <w:lang w:val="en-US" w:eastAsia="zh-CN"/>
        </w:rPr>
      </w:pPr>
      <w:r>
        <w:rPr>
          <w:rFonts w:hint="eastAsia" w:ascii="Arial" w:hAnsi="Arial" w:eastAsia="宋体" w:cs="Arial"/>
          <w:b/>
          <w:bCs/>
          <w:sz w:val="18"/>
          <w:szCs w:val="18"/>
          <w:lang w:val="en-US" w:eastAsia="zh-CN"/>
        </w:rPr>
        <w:t>Figure 2. Basic procedure for enhanced immediate MDT</w:t>
      </w:r>
    </w:p>
    <w:p w14:paraId="25E805CC">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For the data size, based on the content highlighted above, the maximum typical size would be up to ~500bits for BM Case 1 (Spacial domain prediction). For BM case 2, the payload size is not fixed which depends on the predicted time instance and history measurement time instance. We take BM Case 1 as example, there can be ~144 samples (9kbyte/500bits) per RRC reporting. Based on TR 38.843 [4], the typical time duration to generate one sample is 40ms, then the reporting cycle 5760ms (144*40ms) can be supported. Considering the UL RRC segmentation is up to 16, the reporting period can be extended to 92160ms (5760ms*16) </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 xml:space="preserve"> 1.5min.  </w:t>
      </w:r>
    </w:p>
    <w:p w14:paraId="10BFBB4F">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1: For BM Case 1, one single RRC message can support ~144 samples reporting, and the corresponding reporting cycle will be 5760ms. Considering the UL RRC segmentation is up to 16, the reporting period can be extended to 92160ms</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1.5min.</w:t>
      </w:r>
    </w:p>
    <w:p w14:paraId="14D532F5">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val="0"/>
          <w:bCs w:val="0"/>
          <w:sz w:val="20"/>
          <w:szCs w:val="20"/>
          <w:lang w:val="en-US" w:eastAsia="zh-CN"/>
        </w:rPr>
        <w:t>As specified in TS 38.331 [5], the minimum of report interval is 120ms, and the maximum is 30min. For the FFS how to handle case when single RRC message is not sufficient, we understand that it can be avoided by the network implementation, e.g. configure a suitable report interval which guarantees single RRC message is sufficient for collected data, so it is unnecessary to introduce additional enhancements for this issue.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7F6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BC0C3F1">
            <w:pPr>
              <w:pStyle w:val="5"/>
              <w:keepNext/>
              <w:keepLines w:val="0"/>
              <w:pageBreakBefore w:val="0"/>
              <w:widowControl w:val="0"/>
              <w:numPr>
                <w:ilvl w:val="3"/>
                <w:numId w:val="0"/>
              </w:numPr>
              <w:tabs>
                <w:tab w:val="left" w:pos="432"/>
                <w:tab w:val="left" w:pos="1002"/>
              </w:tabs>
              <w:kinsoku/>
              <w:wordWrap/>
              <w:overflowPunct/>
              <w:topLinePunct w:val="0"/>
              <w:autoSpaceDE/>
              <w:autoSpaceDN/>
              <w:bidi w:val="0"/>
              <w:adjustRightInd/>
              <w:snapToGrid/>
              <w:spacing w:before="120"/>
              <w:ind w:right="210" w:rightChars="100"/>
              <w:textAlignment w:val="auto"/>
              <w:rPr>
                <w:rFonts w:eastAsia="MS Mincho"/>
                <w:sz w:val="22"/>
                <w:szCs w:val="21"/>
              </w:rPr>
            </w:pPr>
            <w:bookmarkStart w:id="0" w:name="_Toc156130560"/>
            <w:bookmarkStart w:id="1" w:name="_Toc60777353"/>
            <w:r>
              <w:rPr>
                <w:rFonts w:eastAsia="MS Mincho"/>
                <w:sz w:val="22"/>
                <w:szCs w:val="21"/>
              </w:rPr>
              <w:t>–</w:t>
            </w:r>
            <w:r>
              <w:rPr>
                <w:rFonts w:eastAsia="MS Mincho"/>
                <w:sz w:val="22"/>
                <w:szCs w:val="21"/>
              </w:rPr>
              <w:tab/>
            </w:r>
            <w:r>
              <w:rPr>
                <w:rFonts w:eastAsia="MS Mincho"/>
                <w:i/>
                <w:sz w:val="22"/>
                <w:szCs w:val="21"/>
              </w:rPr>
              <w:t>ReportInterval</w:t>
            </w:r>
            <w:bookmarkEnd w:id="0"/>
            <w:bookmarkEnd w:id="1"/>
          </w:p>
          <w:p w14:paraId="6E52CD30">
            <w:pPr>
              <w:rPr>
                <w:rFonts w:hint="default" w:ascii="Arial" w:hAnsi="Arial" w:eastAsia="MS Mincho" w:cs="Arial"/>
                <w:sz w:val="20"/>
                <w:szCs w:val="21"/>
              </w:rPr>
            </w:pPr>
            <w:r>
              <w:rPr>
                <w:rFonts w:hint="default" w:ascii="Arial" w:hAnsi="Arial" w:cs="Arial"/>
                <w:sz w:val="20"/>
                <w:szCs w:val="21"/>
              </w:rPr>
              <w:t xml:space="preserve">The IE </w:t>
            </w:r>
            <w:r>
              <w:rPr>
                <w:rFonts w:hint="default" w:ascii="Arial" w:hAnsi="Arial" w:cs="Arial"/>
                <w:i/>
                <w:sz w:val="20"/>
                <w:szCs w:val="21"/>
              </w:rPr>
              <w:t xml:space="preserve">ReportInterval </w:t>
            </w:r>
            <w:r>
              <w:rPr>
                <w:rFonts w:hint="default" w:ascii="Arial" w:hAnsi="Arial" w:cs="Arial"/>
                <w:iCs/>
                <w:sz w:val="20"/>
                <w:szCs w:val="21"/>
              </w:rPr>
              <w:t xml:space="preserve">indicates the interval between periodical reports. </w:t>
            </w:r>
            <w:r>
              <w:rPr>
                <w:rFonts w:hint="default" w:ascii="Arial" w:hAnsi="Arial" w:cs="Arial"/>
                <w:sz w:val="20"/>
                <w:szCs w:val="21"/>
              </w:rPr>
              <w:t xml:space="preserve">The </w:t>
            </w:r>
            <w:r>
              <w:rPr>
                <w:rFonts w:hint="default" w:ascii="Arial" w:hAnsi="Arial" w:cs="Arial"/>
                <w:i/>
                <w:sz w:val="20"/>
                <w:szCs w:val="21"/>
              </w:rPr>
              <w:t>ReportInterval</w:t>
            </w:r>
            <w:r>
              <w:rPr>
                <w:rFonts w:hint="default" w:ascii="Arial" w:hAnsi="Arial" w:cs="Arial"/>
                <w:sz w:val="20"/>
                <w:szCs w:val="21"/>
              </w:rPr>
              <w:t xml:space="preserve"> is </w:t>
            </w:r>
            <w:r>
              <w:rPr>
                <w:rFonts w:hint="default" w:ascii="Arial" w:hAnsi="Arial" w:cs="Arial"/>
                <w:iCs/>
                <w:sz w:val="20"/>
                <w:szCs w:val="21"/>
              </w:rPr>
              <w:t xml:space="preserve">applicable if the UE performs periodical reporting (i.e. when </w:t>
            </w:r>
            <w:r>
              <w:rPr>
                <w:rFonts w:hint="default" w:ascii="Arial" w:hAnsi="Arial" w:cs="Arial"/>
                <w:i/>
                <w:iCs/>
                <w:sz w:val="20"/>
                <w:szCs w:val="21"/>
              </w:rPr>
              <w:t>reportAmount</w:t>
            </w:r>
            <w:r>
              <w:rPr>
                <w:rFonts w:hint="default" w:ascii="Arial" w:hAnsi="Arial" w:cs="Arial"/>
                <w:iCs/>
                <w:sz w:val="20"/>
                <w:szCs w:val="21"/>
              </w:rPr>
              <w:t xml:space="preserve"> exceeds 1) whe</w:t>
            </w:r>
            <w:r>
              <w:rPr>
                <w:rFonts w:hint="default" w:ascii="Arial" w:hAnsi="Arial" w:cs="Arial"/>
                <w:iCs/>
                <w:sz w:val="20"/>
                <w:szCs w:val="21"/>
                <w:lang w:eastAsia="ko-KR"/>
              </w:rPr>
              <w:t>n</w:t>
            </w:r>
            <w:r>
              <w:rPr>
                <w:rFonts w:hint="default" w:ascii="Arial" w:hAnsi="Arial" w:cs="Arial"/>
                <w:i/>
                <w:iCs/>
                <w:sz w:val="20"/>
                <w:szCs w:val="21"/>
                <w:lang w:eastAsia="ko-KR"/>
              </w:rPr>
              <w:t xml:space="preserve"> reportType </w:t>
            </w:r>
            <w:r>
              <w:rPr>
                <w:rFonts w:hint="default" w:ascii="Arial" w:hAnsi="Arial" w:cs="Arial"/>
                <w:iCs/>
                <w:sz w:val="20"/>
                <w:szCs w:val="21"/>
                <w:lang w:eastAsia="ko-KR"/>
              </w:rPr>
              <w:t xml:space="preserve">is set to either </w:t>
            </w:r>
            <w:r>
              <w:rPr>
                <w:rFonts w:hint="default" w:ascii="Arial" w:hAnsi="Arial" w:cs="Arial"/>
                <w:i/>
                <w:iCs/>
                <w:sz w:val="20"/>
                <w:szCs w:val="21"/>
                <w:lang w:eastAsia="ko-KR"/>
              </w:rPr>
              <w:t>eventTriggered</w:t>
            </w:r>
            <w:r>
              <w:rPr>
                <w:rFonts w:hint="default" w:ascii="Arial" w:hAnsi="Arial" w:cs="Arial"/>
                <w:iCs/>
                <w:sz w:val="20"/>
                <w:szCs w:val="21"/>
                <w:lang w:eastAsia="ko-KR"/>
              </w:rPr>
              <w:t xml:space="preserve">, </w:t>
            </w:r>
            <w:r>
              <w:rPr>
                <w:rFonts w:hint="default" w:ascii="Arial" w:hAnsi="Arial" w:cs="Arial"/>
                <w:i/>
                <w:iCs/>
                <w:sz w:val="20"/>
                <w:szCs w:val="21"/>
                <w:lang w:eastAsia="ko-KR"/>
              </w:rPr>
              <w:t>periodical</w:t>
            </w:r>
            <w:r>
              <w:rPr>
                <w:rFonts w:hint="default" w:ascii="Arial" w:hAnsi="Arial" w:cs="Arial"/>
                <w:iCs/>
                <w:sz w:val="20"/>
                <w:szCs w:val="21"/>
                <w:lang w:eastAsia="ko-KR"/>
              </w:rPr>
              <w:t xml:space="preserve">, </w:t>
            </w:r>
            <w:r>
              <w:rPr>
                <w:rFonts w:hint="default" w:ascii="Arial" w:hAnsi="Arial" w:cs="Arial"/>
                <w:i/>
                <w:iCs/>
                <w:sz w:val="20"/>
                <w:szCs w:val="21"/>
                <w:lang w:eastAsia="ko-KR"/>
              </w:rPr>
              <w:t>cli-EventTriggered</w:t>
            </w:r>
            <w:r>
              <w:rPr>
                <w:rFonts w:hint="default" w:ascii="Arial" w:hAnsi="Arial" w:cs="Arial"/>
                <w:iCs/>
                <w:sz w:val="20"/>
                <w:szCs w:val="21"/>
                <w:lang w:eastAsia="ko-KR"/>
              </w:rPr>
              <w:t xml:space="preserve"> or </w:t>
            </w:r>
            <w:r>
              <w:rPr>
                <w:rFonts w:hint="default" w:ascii="Arial" w:hAnsi="Arial" w:cs="Arial"/>
                <w:i/>
                <w:iCs/>
                <w:sz w:val="20"/>
                <w:szCs w:val="21"/>
                <w:lang w:eastAsia="ko-KR"/>
              </w:rPr>
              <w:t>cli-Periodical</w:t>
            </w:r>
            <w:r>
              <w:rPr>
                <w:rFonts w:hint="default" w:ascii="Arial" w:hAnsi="Arial" w:cs="Arial"/>
                <w:sz w:val="20"/>
                <w:szCs w:val="21"/>
              </w:rPr>
              <w:t xml:space="preserve">. Value </w:t>
            </w:r>
            <w:r>
              <w:rPr>
                <w:rFonts w:hint="default" w:ascii="Arial" w:hAnsi="Arial" w:cs="Arial"/>
                <w:i/>
                <w:sz w:val="20"/>
                <w:szCs w:val="21"/>
              </w:rPr>
              <w:t>ms120</w:t>
            </w:r>
            <w:r>
              <w:rPr>
                <w:rFonts w:hint="default" w:ascii="Arial" w:hAnsi="Arial" w:cs="Arial"/>
                <w:sz w:val="20"/>
                <w:szCs w:val="21"/>
              </w:rPr>
              <w:t xml:space="preserve"> corresponds to 120 ms, value </w:t>
            </w:r>
            <w:r>
              <w:rPr>
                <w:rFonts w:hint="default" w:ascii="Arial" w:hAnsi="Arial" w:cs="Arial"/>
                <w:i/>
                <w:sz w:val="20"/>
                <w:szCs w:val="21"/>
              </w:rPr>
              <w:t>ms240</w:t>
            </w:r>
            <w:r>
              <w:rPr>
                <w:rFonts w:hint="default" w:ascii="Arial" w:hAnsi="Arial" w:cs="Arial"/>
                <w:sz w:val="20"/>
                <w:szCs w:val="21"/>
              </w:rPr>
              <w:t xml:space="preserve"> corresponds to 240 ms and so on, while value </w:t>
            </w:r>
            <w:r>
              <w:rPr>
                <w:rFonts w:hint="default" w:ascii="Arial" w:hAnsi="Arial" w:cs="Arial"/>
                <w:i/>
                <w:sz w:val="20"/>
                <w:szCs w:val="21"/>
              </w:rPr>
              <w:t>min1</w:t>
            </w:r>
            <w:r>
              <w:rPr>
                <w:rFonts w:hint="default" w:ascii="Arial" w:hAnsi="Arial" w:cs="Arial"/>
                <w:sz w:val="20"/>
                <w:szCs w:val="21"/>
              </w:rPr>
              <w:t xml:space="preserve"> corresponds to 1 min, </w:t>
            </w:r>
            <w:r>
              <w:rPr>
                <w:rFonts w:hint="default" w:ascii="Arial" w:hAnsi="Arial" w:cs="Arial"/>
                <w:i/>
                <w:sz w:val="20"/>
                <w:szCs w:val="21"/>
              </w:rPr>
              <w:t>min6</w:t>
            </w:r>
            <w:r>
              <w:rPr>
                <w:rFonts w:hint="default" w:ascii="Arial" w:hAnsi="Arial" w:cs="Arial"/>
                <w:sz w:val="20"/>
                <w:szCs w:val="21"/>
              </w:rPr>
              <w:t xml:space="preserve"> corresponds to 6 min and so on.</w:t>
            </w:r>
          </w:p>
          <w:p w14:paraId="5F9A7CA5">
            <w:pPr>
              <w:pStyle w:val="22"/>
            </w:pPr>
            <w:r>
              <w:rPr>
                <w:bCs/>
                <w:i/>
                <w:iCs/>
              </w:rPr>
              <w:t xml:space="preserve">ReportInterval </w:t>
            </w:r>
            <w:r>
              <w:t>information element</w:t>
            </w:r>
          </w:p>
          <w:p w14:paraId="33EF83A3">
            <w:pPr>
              <w:pStyle w:val="39"/>
              <w:rPr>
                <w:color w:val="808080"/>
              </w:rPr>
            </w:pPr>
            <w:r>
              <w:rPr>
                <w:color w:val="808080"/>
              </w:rPr>
              <w:t>-- ASN1START</w:t>
            </w:r>
          </w:p>
          <w:p w14:paraId="30522D3C">
            <w:pPr>
              <w:pStyle w:val="39"/>
              <w:rPr>
                <w:color w:val="808080"/>
              </w:rPr>
            </w:pPr>
            <w:r>
              <w:rPr>
                <w:color w:val="808080"/>
              </w:rPr>
              <w:t>-- TAG-REPORTINTERVAL-START</w:t>
            </w:r>
          </w:p>
          <w:p w14:paraId="2C983F86">
            <w:pPr>
              <w:pStyle w:val="39"/>
            </w:pPr>
          </w:p>
          <w:p w14:paraId="546F8872">
            <w:pPr>
              <w:pStyle w:val="39"/>
              <w:rPr>
                <w:highlight w:val="yellow"/>
              </w:rPr>
            </w:pPr>
            <w:r>
              <w:t xml:space="preserve">ReportInterval ::=                  </w:t>
            </w:r>
            <w:r>
              <w:rPr>
                <w:color w:val="993366"/>
              </w:rPr>
              <w:t>ENUMERATED</w:t>
            </w:r>
            <w:r>
              <w:t xml:space="preserve"> {</w:t>
            </w:r>
            <w:r>
              <w:rPr>
                <w:highlight w:val="yellow"/>
              </w:rPr>
              <w:t>ms120, ms240, ms480, ms640, ms1024, ms2048, ms5120, ms10240, ms20480, ms40960,</w:t>
            </w:r>
          </w:p>
          <w:p w14:paraId="3440BD0F">
            <w:pPr>
              <w:pStyle w:val="39"/>
            </w:pPr>
            <w:r>
              <w:rPr>
                <w:highlight w:val="yellow"/>
              </w:rPr>
              <w:t xml:space="preserve">                                                    min1,min6, min12, min30</w:t>
            </w:r>
            <w:r>
              <w:t xml:space="preserve"> }</w:t>
            </w:r>
          </w:p>
          <w:p w14:paraId="7C2CD51D">
            <w:pPr>
              <w:pStyle w:val="39"/>
            </w:pPr>
          </w:p>
          <w:p w14:paraId="35FC53E0">
            <w:pPr>
              <w:pStyle w:val="39"/>
              <w:rPr>
                <w:color w:val="808080"/>
              </w:rPr>
            </w:pPr>
            <w:r>
              <w:rPr>
                <w:color w:val="808080"/>
              </w:rPr>
              <w:t>-- TAG-REPORTINTERVAL-STOP</w:t>
            </w:r>
          </w:p>
          <w:p w14:paraId="4384B813">
            <w:pPr>
              <w:pStyle w:val="39"/>
              <w:rPr>
                <w:rFonts w:hint="default" w:ascii="Arial" w:hAnsi="Arial" w:eastAsia="宋体" w:cs="Arial"/>
                <w:b w:val="0"/>
                <w:bCs w:val="0"/>
                <w:sz w:val="20"/>
                <w:szCs w:val="20"/>
                <w:vertAlign w:val="baseline"/>
                <w:lang w:val="en-US" w:eastAsia="zh-CN"/>
              </w:rPr>
            </w:pPr>
            <w:r>
              <w:rPr>
                <w:color w:val="808080"/>
              </w:rPr>
              <w:t>-- ASN1STOP</w:t>
            </w:r>
          </w:p>
        </w:tc>
      </w:tr>
    </w:tbl>
    <w:p w14:paraId="38A636A9">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2: For the case when single RRC message is not sufficient, it can be avoided by NW implementation, e.g. configure a suitable report interval which guarantees single RRC message is sufficient for collected data, so it is unnecessary to introduce additional enhancements.</w:t>
      </w:r>
    </w:p>
    <w:p w14:paraId="5EE61919">
      <w:pPr>
        <w:numPr>
          <w:ilvl w:val="0"/>
          <w:numId w:val="0"/>
        </w:numPr>
        <w:spacing w:before="120" w:beforeLines="50" w:after="120" w:line="240" w:lineRule="auto"/>
        <w:jc w:val="both"/>
        <w:rPr>
          <w:rFonts w:hint="default" w:ascii="Arial" w:hAnsi="Arial" w:eastAsia="宋体" w:cs="Arial"/>
          <w:b w:val="0"/>
          <w:bCs w:val="0"/>
          <w:sz w:val="20"/>
          <w:szCs w:val="20"/>
          <w:lang w:val="en-US" w:eastAsia="zh-CN"/>
        </w:rPr>
      </w:pPr>
    </w:p>
    <w:p w14:paraId="5333786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Positioning with gNB-sided model (case 3a)</w:t>
      </w:r>
    </w:p>
    <w:p w14:paraId="49E3C526">
      <w:pPr>
        <w:numPr>
          <w:ilvl w:val="0"/>
          <w:numId w:val="0"/>
        </w:numPr>
        <w:spacing w:before="120" w:beforeLines="50" w:after="120" w:line="240" w:lineRule="auto"/>
        <w:jc w:val="center"/>
      </w:pPr>
      <w:r>
        <w:drawing>
          <wp:inline distT="0" distB="0" distL="114300" distR="114300">
            <wp:extent cx="977900" cy="1581150"/>
            <wp:effectExtent l="0" t="0" r="317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rcRect l="63915" t="1274" r="18840" b="11964"/>
                    <a:stretch>
                      <a:fillRect/>
                    </a:stretch>
                  </pic:blipFill>
                  <pic:spPr>
                    <a:xfrm>
                      <a:off x="0" y="0"/>
                      <a:ext cx="977900" cy="1581150"/>
                    </a:xfrm>
                    <a:prstGeom prst="rect">
                      <a:avLst/>
                    </a:prstGeom>
                  </pic:spPr>
                </pic:pic>
              </a:graphicData>
            </a:graphic>
          </wp:inline>
        </w:drawing>
      </w:r>
    </w:p>
    <w:p w14:paraId="72673A26">
      <w:pPr>
        <w:numPr>
          <w:ilvl w:val="0"/>
          <w:numId w:val="0"/>
        </w:numPr>
        <w:spacing w:before="120" w:beforeLines="50" w:after="120" w:line="240" w:lineRule="auto"/>
        <w:jc w:val="center"/>
        <w:rPr>
          <w:rFonts w:hint="default"/>
          <w:lang w:val="en-US" w:eastAsia="zh-CN"/>
        </w:rPr>
      </w:pPr>
      <w:r>
        <w:rPr>
          <w:rFonts w:hint="eastAsia" w:ascii="Arial" w:hAnsi="Arial" w:eastAsia="宋体" w:cs="Arial"/>
          <w:b/>
          <w:bCs/>
          <w:sz w:val="20"/>
          <w:szCs w:val="20"/>
          <w:lang w:val="en-US" w:eastAsia="zh-CN"/>
        </w:rPr>
        <w:t>Figure 3. Positioning with gNB-sided model (case 3a)</w:t>
      </w:r>
    </w:p>
    <w:p w14:paraId="6FB70F0A">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gNB-sided model training can reside at gNB or OAM. Based on the following RAN1 agreement, the label and its related data (e.g., time stamp) can be generated by at least LMF. Thus, the NRPPa should be enhanced to transmit the label and related data from LMF to gNB for model training.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2DE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7C43E57">
            <w:pPr>
              <w:rPr>
                <w:rFonts w:hint="default" w:ascii="Arial" w:hAnsi="Arial" w:cs="Arial"/>
                <w:sz w:val="20"/>
                <w:szCs w:val="20"/>
                <w:highlight w:val="green"/>
              </w:rPr>
            </w:pPr>
            <w:r>
              <w:rPr>
                <w:rFonts w:hint="default" w:ascii="Arial" w:hAnsi="Arial" w:cs="Arial"/>
                <w:sz w:val="20"/>
                <w:szCs w:val="20"/>
                <w:highlight w:val="green"/>
                <w:lang w:val="en-US" w:eastAsia="zh-CN"/>
              </w:rPr>
              <w:t xml:space="preserve">RAN1#116bis </w:t>
            </w:r>
            <w:r>
              <w:rPr>
                <w:rFonts w:hint="default" w:ascii="Arial" w:hAnsi="Arial" w:cs="Arial"/>
                <w:sz w:val="20"/>
                <w:szCs w:val="20"/>
                <w:highlight w:val="green"/>
              </w:rPr>
              <w:t>Agreement</w:t>
            </w:r>
          </w:p>
          <w:p w14:paraId="2BB7A253">
            <w:pPr>
              <w:rPr>
                <w:rFonts w:hint="default" w:ascii="Arial" w:hAnsi="Arial" w:cs="Arial"/>
                <w:sz w:val="20"/>
                <w:szCs w:val="20"/>
              </w:rPr>
            </w:pPr>
            <w:r>
              <w:rPr>
                <w:rFonts w:hint="default" w:ascii="Arial" w:hAnsi="Arial" w:cs="Arial"/>
                <w:sz w:val="20"/>
                <w:szCs w:val="20"/>
              </w:rPr>
              <w:t xml:space="preserve">For training data generation of AI/ML based positioning Case 3a, </w:t>
            </w:r>
            <w:r>
              <w:rPr>
                <w:rFonts w:hint="default" w:ascii="Arial" w:hAnsi="Arial" w:cs="Arial"/>
                <w:sz w:val="20"/>
                <w:szCs w:val="20"/>
                <w:highlight w:val="yellow"/>
              </w:rPr>
              <w:t>the label and its related data (e.g., time stamp) can be generated by at least:</w:t>
            </w:r>
          </w:p>
          <w:p w14:paraId="48815BB8">
            <w:pPr>
              <w:pStyle w:val="24"/>
              <w:widowControl w:val="0"/>
              <w:numPr>
                <w:ilvl w:val="0"/>
                <w:numId w:val="7"/>
              </w:numPr>
              <w:ind w:leftChars="0"/>
              <w:jc w:val="both"/>
              <w:rPr>
                <w:rFonts w:hint="default" w:ascii="Arial" w:hAnsi="Arial" w:cs="Arial"/>
                <w:sz w:val="20"/>
                <w:szCs w:val="20"/>
              </w:rPr>
            </w:pPr>
            <w:r>
              <w:rPr>
                <w:rFonts w:hint="default" w:ascii="Arial" w:hAnsi="Arial" w:cs="Arial"/>
                <w:sz w:val="20"/>
                <w:szCs w:val="20"/>
                <w:highlight w:val="yellow"/>
                <w:lang w:val="en-US"/>
              </w:rPr>
              <w:t>LMF</w:t>
            </w:r>
            <w:r>
              <w:rPr>
                <w:rFonts w:hint="default" w:ascii="Arial" w:hAnsi="Arial" w:cs="Arial"/>
                <w:sz w:val="20"/>
                <w:szCs w:val="20"/>
                <w:lang w:val="en-US"/>
              </w:rPr>
              <w:t xml:space="preserve"> </w:t>
            </w:r>
          </w:p>
          <w:p w14:paraId="11A40ACC">
            <w:pPr>
              <w:rPr>
                <w:rFonts w:hint="default" w:ascii="Arial" w:hAnsi="Arial" w:cs="Arial"/>
                <w:sz w:val="20"/>
                <w:szCs w:val="20"/>
              </w:rPr>
            </w:pPr>
            <w:r>
              <w:rPr>
                <w:rFonts w:hint="default" w:ascii="Arial" w:hAnsi="Arial" w:cs="Arial"/>
                <w:sz w:val="20"/>
                <w:szCs w:val="20"/>
              </w:rPr>
              <w:t xml:space="preserve">Note: transfer of label and its related data is out of RAN1 scope. </w:t>
            </w:r>
          </w:p>
          <w:p w14:paraId="5DC79FD5">
            <w:pPr>
              <w:rPr>
                <w:rFonts w:hint="eastAsia" w:ascii="Arial" w:hAnsi="Arial" w:eastAsia="宋体" w:cs="Arial"/>
                <w:b w:val="0"/>
                <w:bCs w:val="0"/>
                <w:sz w:val="20"/>
                <w:szCs w:val="20"/>
                <w:vertAlign w:val="baseline"/>
                <w:lang w:val="en-US" w:eastAsia="zh-CN"/>
              </w:rPr>
            </w:pPr>
            <w:r>
              <w:rPr>
                <w:rFonts w:hint="default" w:ascii="Arial" w:hAnsi="Arial" w:cs="Arial"/>
                <w:sz w:val="20"/>
                <w:szCs w:val="20"/>
              </w:rPr>
              <w:t xml:space="preserve">Note: whether other network entities can generate label for Case 3a is out of RAN1 scope. </w:t>
            </w:r>
          </w:p>
        </w:tc>
      </w:tr>
    </w:tbl>
    <w:p w14:paraId="14E8E996">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3: For positioning with gNB-sided model (case 3a), enhance NRPPa to transmit the data (e.g. the label and its related data) from LMF to gNB for model training.</w:t>
      </w:r>
    </w:p>
    <w:p w14:paraId="091D64E7">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In last meeting, RAN1 agreed that the measurement and its related data (e.g., timestamp) are generated by TRP/gNB for training. We understand that there may be some impacts on Xn interface but it is up to RAN3 discussion.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B8D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4B56E95">
            <w:pPr>
              <w:rPr>
                <w:rFonts w:hint="default" w:ascii="Arial" w:hAnsi="Arial" w:eastAsia="等线" w:cs="Arial"/>
                <w:b w:val="0"/>
                <w:bCs w:val="0"/>
                <w:sz w:val="20"/>
                <w:szCs w:val="20"/>
                <w:highlight w:val="green"/>
                <w:lang w:val="en-GB" w:eastAsia="en-US"/>
                <w14:ligatures w14:val="standardContextual"/>
              </w:rPr>
            </w:pPr>
            <w:r>
              <w:rPr>
                <w:rFonts w:hint="default" w:ascii="Arial" w:hAnsi="Arial" w:eastAsia="等线" w:cs="Arial"/>
                <w:b w:val="0"/>
                <w:bCs w:val="0"/>
                <w:sz w:val="20"/>
                <w:szCs w:val="20"/>
                <w:highlight w:val="green"/>
                <w:lang w:val="en-US" w:eastAsia="zh-CN"/>
                <w14:ligatures w14:val="standardContextual"/>
              </w:rPr>
              <w:t xml:space="preserve">RAN1#117 </w:t>
            </w:r>
            <w:r>
              <w:rPr>
                <w:rFonts w:hint="default" w:ascii="Arial" w:hAnsi="Arial" w:eastAsia="等线" w:cs="Arial"/>
                <w:b w:val="0"/>
                <w:bCs w:val="0"/>
                <w:sz w:val="20"/>
                <w:szCs w:val="20"/>
                <w:highlight w:val="green"/>
                <w:lang w:val="en-GB" w:eastAsia="en-US"/>
                <w14:ligatures w14:val="standardContextual"/>
              </w:rPr>
              <w:t>Agreement</w:t>
            </w:r>
          </w:p>
          <w:p w14:paraId="0C3D84F6">
            <w:pPr>
              <w:numPr>
                <w:ilvl w:val="0"/>
                <w:numId w:val="0"/>
              </w:numPr>
              <w:spacing w:before="120" w:beforeLines="50" w:after="120" w:line="260" w:lineRule="exact"/>
              <w:rPr>
                <w:rFonts w:hint="eastAsia" w:ascii="Arial" w:hAnsi="Arial" w:eastAsia="宋体" w:cs="Arial"/>
                <w:b w:val="0"/>
                <w:bCs w:val="0"/>
                <w:sz w:val="20"/>
                <w:szCs w:val="20"/>
                <w:vertAlign w:val="baseline"/>
                <w:lang w:val="en-US" w:eastAsia="zh-CN"/>
              </w:rPr>
            </w:pPr>
            <w:r>
              <w:rPr>
                <w:rFonts w:hint="default" w:ascii="Arial" w:hAnsi="Arial" w:eastAsia="Batang" w:cs="Arial"/>
                <w:sz w:val="20"/>
                <w:szCs w:val="20"/>
                <w:lang w:val="en-GB" w:eastAsia="en-US"/>
                <w14:ligatures w14:val="standardContextual"/>
              </w:rPr>
              <w:t xml:space="preserve">For training data generation of AI/ML based positioning Case 3a and 3b, </w:t>
            </w:r>
            <w:r>
              <w:rPr>
                <w:rFonts w:hint="default" w:ascii="Arial" w:hAnsi="Arial" w:eastAsia="Batang" w:cs="Arial"/>
                <w:sz w:val="20"/>
                <w:szCs w:val="20"/>
                <w:highlight w:val="yellow"/>
                <w:lang w:val="en-GB" w:eastAsia="en-US"/>
                <w14:ligatures w14:val="standardContextual"/>
              </w:rPr>
              <w:t>the measurement and its related data (e.g., timestamp) are generated by TRP/gNB</w:t>
            </w:r>
            <w:r>
              <w:rPr>
                <w:rFonts w:hint="default" w:ascii="Arial" w:hAnsi="Arial" w:eastAsia="Batang" w:cs="Arial"/>
                <w:sz w:val="20"/>
                <w:szCs w:val="20"/>
                <w:lang w:val="en-GB" w:eastAsia="en-US"/>
                <w14:ligatures w14:val="standardContextual"/>
              </w:rPr>
              <w:t>.</w:t>
            </w:r>
          </w:p>
        </w:tc>
      </w:tr>
    </w:tbl>
    <w:p w14:paraId="38B0235C">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4: For positioning with gNB-sided model (case 3a), there may be some impacts on Xn interface if the measurement and its related data (e.g., timestamp) are generated by TRP/gNB for training, but it is up to RAN3 discussion.</w:t>
      </w:r>
    </w:p>
    <w:p w14:paraId="5D9D8543">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Based on the following RAN1 agreement, the measurement for case 3a is based on the existing UL SRS and no new SRS will be introduced. Therefore, the legacy UL SRS transmitting and measurement will be reused, which has no additional impacts on Uu interface.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EAE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4646B51">
            <w:pPr>
              <w:rPr>
                <w:rFonts w:hint="default" w:ascii="Arial" w:hAnsi="Arial" w:eastAsia="等线" w:cs="Arial"/>
                <w:b w:val="0"/>
                <w:bCs w:val="0"/>
                <w:sz w:val="20"/>
                <w:szCs w:val="21"/>
                <w:highlight w:val="green"/>
                <w:lang w:eastAsia="zh-CN"/>
              </w:rPr>
            </w:pPr>
            <w:r>
              <w:rPr>
                <w:rFonts w:hint="eastAsia" w:ascii="Arial" w:hAnsi="Arial" w:eastAsia="等线" w:cs="Arial"/>
                <w:b w:val="0"/>
                <w:bCs w:val="0"/>
                <w:sz w:val="20"/>
                <w:szCs w:val="21"/>
                <w:highlight w:val="green"/>
                <w:lang w:val="en-US" w:eastAsia="zh-CN"/>
              </w:rPr>
              <w:t xml:space="preserve">RAN1#116 </w:t>
            </w:r>
            <w:r>
              <w:rPr>
                <w:rFonts w:hint="default" w:ascii="Arial" w:hAnsi="Arial" w:eastAsia="等线" w:cs="Arial"/>
                <w:b w:val="0"/>
                <w:bCs w:val="0"/>
                <w:sz w:val="20"/>
                <w:szCs w:val="21"/>
                <w:highlight w:val="green"/>
                <w:lang w:eastAsia="zh-CN"/>
              </w:rPr>
              <w:t>Agreement</w:t>
            </w:r>
          </w:p>
          <w:p w14:paraId="0685C666">
            <w:pPr>
              <w:rPr>
                <w:rFonts w:hint="default" w:ascii="Arial" w:hAnsi="Arial" w:cs="Arial"/>
                <w:sz w:val="20"/>
                <w:szCs w:val="21"/>
              </w:rPr>
            </w:pPr>
            <w:r>
              <w:rPr>
                <w:rFonts w:hint="default" w:ascii="Arial" w:hAnsi="Arial" w:cs="Arial"/>
                <w:sz w:val="20"/>
                <w:szCs w:val="21"/>
              </w:rPr>
              <w:t>For Rel-19 AI/ML based positioning</w:t>
            </w:r>
            <w:r>
              <w:rPr>
                <w:rFonts w:hint="default" w:ascii="Arial" w:hAnsi="Arial" w:cs="Arial"/>
                <w:sz w:val="20"/>
                <w:szCs w:val="21"/>
                <w:highlight w:val="yellow"/>
              </w:rPr>
              <w:t>, the measurements for determining model input are based on the DL PRS and UL SRS defined in TS38.211</w:t>
            </w:r>
            <w:r>
              <w:rPr>
                <w:rFonts w:hint="default" w:ascii="Arial" w:hAnsi="Arial" w:cs="Arial"/>
                <w:sz w:val="20"/>
                <w:szCs w:val="21"/>
              </w:rPr>
              <w:t>.</w:t>
            </w:r>
          </w:p>
          <w:p w14:paraId="5B7FE8BC">
            <w:pPr>
              <w:pStyle w:val="24"/>
              <w:widowControl w:val="0"/>
              <w:numPr>
                <w:ilvl w:val="0"/>
                <w:numId w:val="8"/>
              </w:numPr>
              <w:ind w:leftChars="0"/>
              <w:jc w:val="both"/>
              <w:rPr>
                <w:rFonts w:hint="default" w:ascii="Arial" w:hAnsi="Arial" w:eastAsia="宋体" w:cs="Arial"/>
                <w:b w:val="0"/>
                <w:bCs w:val="0"/>
                <w:sz w:val="20"/>
                <w:szCs w:val="20"/>
                <w:vertAlign w:val="baseline"/>
                <w:lang w:val="en-US" w:eastAsia="zh-CN"/>
              </w:rPr>
            </w:pPr>
            <w:r>
              <w:rPr>
                <w:rFonts w:hint="default" w:ascii="Arial" w:hAnsi="Arial" w:cs="Arial"/>
                <w:sz w:val="20"/>
                <w:szCs w:val="21"/>
              </w:rPr>
              <w:t>Note: The use of SRS for MIMO resource is transparent to UE.</w:t>
            </w:r>
          </w:p>
        </w:tc>
      </w:tr>
    </w:tbl>
    <w:p w14:paraId="00214187">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5: For positioning with gNB-sided model (case 3a), there is no additional impact on Uu interface.</w:t>
      </w:r>
    </w:p>
    <w:p w14:paraId="525A14BF">
      <w:pPr>
        <w:numPr>
          <w:ilvl w:val="0"/>
          <w:numId w:val="0"/>
        </w:numPr>
        <w:spacing w:before="120" w:beforeLines="50" w:after="120" w:line="260" w:lineRule="exact"/>
        <w:rPr>
          <w:rFonts w:hint="default" w:ascii="Arial" w:hAnsi="Arial" w:eastAsia="宋体" w:cs="Arial"/>
          <w:b w:val="0"/>
          <w:bCs w:val="0"/>
          <w:sz w:val="20"/>
          <w:szCs w:val="20"/>
          <w:lang w:val="en-US" w:eastAsia="zh-CN"/>
        </w:rPr>
      </w:pPr>
    </w:p>
    <w:p w14:paraId="2A5DC1E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Positioning with LMF-sided model (case 2b and 3b)</w:t>
      </w:r>
    </w:p>
    <w:p w14:paraId="40837DA0">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LMF-sided model training resides at LMF and the LMF is the termination point for training data. Therefore the LMF-centric data collection should be considered, i.e. LMF configures the UE/gNB to initiate/terminate the data collection procedure.</w:t>
      </w:r>
    </w:p>
    <w:p w14:paraId="22A42A63">
      <w:pPr>
        <w:numPr>
          <w:ilvl w:val="0"/>
          <w:numId w:val="0"/>
        </w:numPr>
        <w:spacing w:before="120" w:beforeLines="50" w:after="120" w:line="240" w:lineRule="auto"/>
        <w:jc w:val="center"/>
      </w:pPr>
      <w:r>
        <w:drawing>
          <wp:inline distT="0" distB="0" distL="114300" distR="114300">
            <wp:extent cx="1060450" cy="145478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rcRect l="45091" t="5420" r="36208" b="14752"/>
                    <a:stretch>
                      <a:fillRect/>
                    </a:stretch>
                  </pic:blipFill>
                  <pic:spPr>
                    <a:xfrm>
                      <a:off x="0" y="0"/>
                      <a:ext cx="1060450" cy="1454785"/>
                    </a:xfrm>
                    <a:prstGeom prst="rect">
                      <a:avLst/>
                    </a:prstGeom>
                  </pic:spPr>
                </pic:pic>
              </a:graphicData>
            </a:graphic>
          </wp:inline>
        </w:drawing>
      </w:r>
      <w:r>
        <w:rPr>
          <w:rFonts w:hint="eastAsia"/>
          <w:lang w:val="en-US" w:eastAsia="zh-CN"/>
        </w:rPr>
        <w:t xml:space="preserve">       </w:t>
      </w:r>
      <w:r>
        <w:drawing>
          <wp:inline distT="0" distB="0" distL="114300" distR="114300">
            <wp:extent cx="886460" cy="147574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8"/>
                    <a:srcRect l="81977" t="4619" r="2390" b="14403"/>
                    <a:stretch>
                      <a:fillRect/>
                    </a:stretch>
                  </pic:blipFill>
                  <pic:spPr>
                    <a:xfrm>
                      <a:off x="0" y="0"/>
                      <a:ext cx="886460" cy="1475740"/>
                    </a:xfrm>
                    <a:prstGeom prst="rect">
                      <a:avLst/>
                    </a:prstGeom>
                  </pic:spPr>
                </pic:pic>
              </a:graphicData>
            </a:graphic>
          </wp:inline>
        </w:drawing>
      </w:r>
    </w:p>
    <w:p w14:paraId="101EBE6F">
      <w:pPr>
        <w:numPr>
          <w:ilvl w:val="0"/>
          <w:numId w:val="0"/>
        </w:numPr>
        <w:spacing w:before="120" w:beforeLines="50" w:after="120" w:line="240" w:lineRule="auto"/>
        <w:jc w:val="center"/>
        <w:rPr>
          <w:rFonts w:hint="eastAsia"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Figure 4. Positioning with LMF-sided model (case 2b and 3b)</w:t>
      </w:r>
    </w:p>
    <w:p w14:paraId="63E442BA">
      <w:p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rPr>
        <w:t xml:space="preserve">For the content of </w:t>
      </w:r>
      <w:r>
        <w:rPr>
          <w:rFonts w:hint="eastAsia" w:ascii="Arial" w:hAnsi="Arial" w:cs="Arial"/>
          <w:bCs/>
          <w:sz w:val="20"/>
          <w:szCs w:val="20"/>
          <w:lang w:val="en-US" w:eastAsia="zh-CN"/>
        </w:rPr>
        <w:t xml:space="preserve">collected </w:t>
      </w:r>
      <w:r>
        <w:rPr>
          <w:rFonts w:hint="eastAsia" w:ascii="Arial" w:hAnsi="Arial" w:cs="Arial"/>
          <w:bCs/>
          <w:sz w:val="20"/>
          <w:szCs w:val="20"/>
        </w:rPr>
        <w:t>data</w:t>
      </w:r>
      <w:r>
        <w:rPr>
          <w:rFonts w:hint="eastAsia" w:ascii="Arial" w:hAnsi="Arial" w:cs="Arial"/>
          <w:bCs/>
          <w:sz w:val="20"/>
          <w:szCs w:val="20"/>
          <w:lang w:val="en-US" w:eastAsia="zh-CN"/>
        </w:rPr>
        <w:t xml:space="preserve"> for LMF-sided model training</w:t>
      </w:r>
      <w:r>
        <w:rPr>
          <w:rFonts w:hint="eastAsia" w:ascii="Arial" w:hAnsi="Arial" w:cs="Arial"/>
          <w:bCs/>
          <w:sz w:val="20"/>
          <w:szCs w:val="20"/>
        </w:rPr>
        <w:t xml:space="preserve">, </w:t>
      </w:r>
      <w:r>
        <w:rPr>
          <w:rFonts w:hint="eastAsia" w:ascii="Arial" w:hAnsi="Arial" w:cs="Arial"/>
          <w:bCs/>
          <w:sz w:val="20"/>
          <w:szCs w:val="20"/>
          <w:lang w:val="en-US" w:eastAsia="zh-CN"/>
        </w:rPr>
        <w:t xml:space="preserve">at least </w:t>
      </w:r>
      <w:r>
        <w:rPr>
          <w:rFonts w:hint="eastAsia" w:ascii="Arial" w:hAnsi="Arial" w:eastAsia="宋体" w:cs="Arial"/>
          <w:b w:val="0"/>
          <w:bCs w:val="0"/>
          <w:sz w:val="20"/>
          <w:szCs w:val="20"/>
          <w:lang w:val="en-US" w:eastAsia="zh-CN"/>
        </w:rPr>
        <w:t xml:space="preserve">measurements (corresponding to model input, e.g. timing, power, and/or phase info) and location coordinates as model output are needed based on RAN1 reply LS [3]. During the R19 discussion, </w:t>
      </w:r>
      <w:r>
        <w:rPr>
          <w:rFonts w:hint="eastAsia" w:ascii="Arial" w:hAnsi="Arial" w:cs="Arial"/>
          <w:bCs/>
          <w:sz w:val="20"/>
          <w:szCs w:val="20"/>
          <w:lang w:val="en-US" w:eastAsia="zh-CN"/>
        </w:rPr>
        <w:t xml:space="preserve">RAN1 has achieved the following agreements on the collected data for LMF-sided model.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7C5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C4941F4">
            <w:pPr>
              <w:rPr>
                <w:rFonts w:hint="default" w:ascii="Arial" w:hAnsi="Arial" w:eastAsia="等线" w:cs="Arial"/>
                <w:b w:val="0"/>
                <w:bCs w:val="0"/>
                <w:sz w:val="20"/>
                <w:szCs w:val="21"/>
                <w:highlight w:val="green"/>
                <w:lang w:eastAsia="zh-CN"/>
              </w:rPr>
            </w:pPr>
            <w:r>
              <w:rPr>
                <w:rFonts w:hint="default" w:ascii="Arial" w:hAnsi="Arial" w:eastAsia="等线" w:cs="Arial"/>
                <w:b w:val="0"/>
                <w:bCs w:val="0"/>
                <w:sz w:val="20"/>
                <w:szCs w:val="21"/>
                <w:highlight w:val="green"/>
                <w:lang w:val="en-US" w:eastAsia="zh-CN"/>
              </w:rPr>
              <w:t xml:space="preserve">RAN1#116 </w:t>
            </w:r>
            <w:r>
              <w:rPr>
                <w:rFonts w:hint="default" w:ascii="Arial" w:hAnsi="Arial" w:eastAsia="等线" w:cs="Arial"/>
                <w:b w:val="0"/>
                <w:bCs w:val="0"/>
                <w:sz w:val="20"/>
                <w:szCs w:val="21"/>
                <w:highlight w:val="green"/>
                <w:lang w:eastAsia="zh-CN"/>
              </w:rPr>
              <w:t>Agreement</w:t>
            </w:r>
          </w:p>
          <w:p w14:paraId="63421EC2">
            <w:pPr>
              <w:numPr>
                <w:ilvl w:val="0"/>
                <w:numId w:val="9"/>
              </w:numPr>
              <w:rPr>
                <w:rFonts w:hint="default" w:ascii="Arial" w:hAnsi="Arial" w:cs="Arial"/>
                <w:sz w:val="20"/>
                <w:szCs w:val="21"/>
              </w:rPr>
            </w:pPr>
            <w:r>
              <w:rPr>
                <w:rFonts w:hint="default" w:ascii="Arial" w:hAnsi="Arial" w:cs="Arial"/>
                <w:sz w:val="20"/>
                <w:szCs w:val="21"/>
              </w:rPr>
              <w:t xml:space="preserve">For AI/ML based positioning case </w:t>
            </w:r>
            <w:r>
              <w:rPr>
                <w:rFonts w:hint="eastAsia" w:ascii="Arial" w:hAnsi="Arial" w:cs="Arial"/>
                <w:sz w:val="20"/>
                <w:szCs w:val="21"/>
                <w:lang w:val="en-US" w:eastAsia="zh-CN"/>
              </w:rPr>
              <w:t xml:space="preserve">2b and </w:t>
            </w:r>
            <w:r>
              <w:rPr>
                <w:rFonts w:hint="default" w:ascii="Arial" w:hAnsi="Arial" w:cs="Arial"/>
                <w:sz w:val="20"/>
                <w:szCs w:val="21"/>
              </w:rPr>
              <w:t xml:space="preserve">3b, at least the following types of time domain channel measurements are supported for reporting: </w:t>
            </w:r>
          </w:p>
          <w:p w14:paraId="7068863B">
            <w:pPr>
              <w:pStyle w:val="24"/>
              <w:widowControl w:val="0"/>
              <w:numPr>
                <w:ilvl w:val="0"/>
                <w:numId w:val="10"/>
              </w:numPr>
              <w:ind w:left="851" w:leftChars="0" w:hanging="425"/>
              <w:jc w:val="both"/>
              <w:rPr>
                <w:rFonts w:hint="default" w:ascii="Arial" w:hAnsi="Arial" w:cs="Arial"/>
                <w:sz w:val="20"/>
                <w:szCs w:val="21"/>
                <w:lang w:val="en-US"/>
              </w:rPr>
            </w:pPr>
            <w:r>
              <w:rPr>
                <w:rFonts w:hint="default" w:ascii="Arial" w:hAnsi="Arial" w:cs="Arial"/>
                <w:sz w:val="20"/>
                <w:szCs w:val="21"/>
                <w:lang w:val="en-US"/>
              </w:rPr>
              <w:t>timing information;</w:t>
            </w:r>
          </w:p>
          <w:p w14:paraId="602A73F3">
            <w:pPr>
              <w:pStyle w:val="24"/>
              <w:widowControl w:val="0"/>
              <w:numPr>
                <w:ilvl w:val="0"/>
                <w:numId w:val="10"/>
              </w:numPr>
              <w:ind w:left="851" w:leftChars="0" w:hanging="425"/>
              <w:jc w:val="both"/>
              <w:rPr>
                <w:rFonts w:hint="default" w:ascii="Arial" w:hAnsi="Arial" w:cs="Arial"/>
                <w:sz w:val="20"/>
                <w:szCs w:val="21"/>
              </w:rPr>
            </w:pPr>
            <w:r>
              <w:rPr>
                <w:rFonts w:hint="default" w:ascii="Arial" w:hAnsi="Arial" w:cs="Arial"/>
                <w:sz w:val="20"/>
                <w:szCs w:val="21"/>
                <w:lang w:val="en-US"/>
              </w:rPr>
              <w:t>paired timing information and power information.</w:t>
            </w:r>
          </w:p>
          <w:p w14:paraId="02581D85">
            <w:pPr>
              <w:rPr>
                <w:rFonts w:hint="default" w:ascii="Arial" w:hAnsi="Arial" w:cs="Arial"/>
                <w:sz w:val="20"/>
                <w:szCs w:val="21"/>
              </w:rPr>
            </w:pPr>
            <w:r>
              <w:rPr>
                <w:rFonts w:hint="default" w:ascii="Arial" w:hAnsi="Arial" w:cs="Arial"/>
                <w:sz w:val="20"/>
                <w:szCs w:val="21"/>
              </w:rPr>
              <w:t xml:space="preserve">For AI/ML based positioning Case 3b, for gNB channel measurements reported to LMF, the timing information is represented relative to a reference time. </w:t>
            </w:r>
          </w:p>
          <w:p w14:paraId="40F39B57">
            <w:pPr>
              <w:pStyle w:val="24"/>
              <w:widowControl w:val="0"/>
              <w:numPr>
                <w:ilvl w:val="0"/>
                <w:numId w:val="11"/>
              </w:numPr>
              <w:ind w:leftChars="0"/>
              <w:jc w:val="both"/>
              <w:rPr>
                <w:rFonts w:hint="default" w:ascii="Arial" w:hAnsi="Arial" w:cs="Arial"/>
                <w:sz w:val="20"/>
                <w:szCs w:val="21"/>
                <w:lang w:val="en-US"/>
              </w:rPr>
            </w:pPr>
            <w:r>
              <w:rPr>
                <w:rFonts w:hint="default" w:ascii="Arial" w:hAnsi="Arial" w:cs="Arial"/>
                <w:sz w:val="20"/>
                <w:szCs w:val="21"/>
                <w:lang w:val="en-US"/>
              </w:rPr>
              <w:t>FFS: Whether any specification impact of the reference time used to represent the timing information. Details of the reference time</w:t>
            </w:r>
          </w:p>
          <w:p w14:paraId="669051DA">
            <w:pPr>
              <w:rPr>
                <w:rFonts w:hint="default" w:ascii="Arial" w:hAnsi="Arial" w:eastAsia="等线" w:cs="Arial"/>
                <w:sz w:val="20"/>
                <w:szCs w:val="20"/>
                <w:highlight w:val="darkYellow"/>
                <w:lang w:eastAsia="zh-CN"/>
              </w:rPr>
            </w:pPr>
            <w:r>
              <w:rPr>
                <w:rFonts w:hint="default" w:ascii="Arial" w:hAnsi="Arial" w:eastAsia="等线" w:cs="Arial"/>
                <w:sz w:val="20"/>
                <w:szCs w:val="20"/>
                <w:highlight w:val="darkYellow"/>
                <w:lang w:val="en-US" w:eastAsia="zh-CN"/>
              </w:rPr>
              <w:t xml:space="preserve">RAN1#116bis </w:t>
            </w:r>
            <w:r>
              <w:rPr>
                <w:rFonts w:hint="default" w:ascii="Arial" w:hAnsi="Arial" w:eastAsia="等线" w:cs="Arial"/>
                <w:sz w:val="20"/>
                <w:szCs w:val="20"/>
                <w:highlight w:val="darkYellow"/>
                <w:lang w:eastAsia="zh-CN"/>
              </w:rPr>
              <w:t>Working Assumption</w:t>
            </w:r>
          </w:p>
          <w:p w14:paraId="65C71078">
            <w:pPr>
              <w:rPr>
                <w:rFonts w:hint="default" w:ascii="Arial" w:hAnsi="Arial" w:cs="Arial"/>
                <w:sz w:val="20"/>
                <w:szCs w:val="20"/>
              </w:rPr>
            </w:pPr>
            <w:r>
              <w:rPr>
                <w:rFonts w:hint="default" w:ascii="Arial" w:hAnsi="Arial" w:cs="Arial"/>
                <w:sz w:val="20"/>
                <w:szCs w:val="20"/>
              </w:rPr>
              <w:t>For training data generation of AI/ML based positioning Case 3b, the label and its related data (e.g., time stamp) can be generated by:</w:t>
            </w:r>
          </w:p>
          <w:p w14:paraId="7BA5F7BF">
            <w:pPr>
              <w:pStyle w:val="24"/>
              <w:widowControl w:val="0"/>
              <w:numPr>
                <w:ilvl w:val="0"/>
                <w:numId w:val="7"/>
              </w:numPr>
              <w:ind w:leftChars="0"/>
              <w:jc w:val="both"/>
              <w:rPr>
                <w:rFonts w:hint="default" w:ascii="Arial" w:hAnsi="Arial" w:cs="Arial"/>
                <w:sz w:val="20"/>
                <w:szCs w:val="20"/>
              </w:rPr>
            </w:pPr>
            <w:r>
              <w:rPr>
                <w:rFonts w:hint="default" w:ascii="Arial" w:hAnsi="Arial" w:cs="Arial"/>
                <w:sz w:val="20"/>
                <w:szCs w:val="20"/>
                <w:lang w:val="en-US"/>
              </w:rPr>
              <w:t>PRU</w:t>
            </w:r>
          </w:p>
          <w:p w14:paraId="47D1D37B">
            <w:pPr>
              <w:pStyle w:val="24"/>
              <w:widowControl w:val="0"/>
              <w:numPr>
                <w:ilvl w:val="0"/>
                <w:numId w:val="7"/>
              </w:numPr>
              <w:ind w:leftChars="0"/>
              <w:jc w:val="both"/>
              <w:rPr>
                <w:rFonts w:hint="default" w:ascii="Arial" w:hAnsi="Arial" w:cs="Arial"/>
                <w:sz w:val="20"/>
                <w:szCs w:val="20"/>
                <w:lang w:val="en-US"/>
              </w:rPr>
            </w:pPr>
            <w:r>
              <w:rPr>
                <w:rFonts w:hint="default" w:ascii="Arial" w:hAnsi="Arial" w:eastAsia="等线" w:cs="Arial"/>
                <w:sz w:val="20"/>
                <w:szCs w:val="20"/>
                <w:lang w:val="en-US" w:eastAsia="zh-CN"/>
              </w:rPr>
              <w:t xml:space="preserve">FFS: </w:t>
            </w:r>
            <w:r>
              <w:rPr>
                <w:rFonts w:hint="default" w:ascii="Arial" w:hAnsi="Arial" w:cs="Arial"/>
                <w:sz w:val="20"/>
                <w:szCs w:val="20"/>
                <w:lang w:val="en-US"/>
              </w:rPr>
              <w:t>Non-PRU UE with estimated location</w:t>
            </w:r>
          </w:p>
          <w:p w14:paraId="1D4EC846">
            <w:pPr>
              <w:pStyle w:val="24"/>
              <w:widowControl w:val="0"/>
              <w:numPr>
                <w:ilvl w:val="0"/>
                <w:numId w:val="7"/>
              </w:numPr>
              <w:ind w:leftChars="0"/>
              <w:jc w:val="both"/>
              <w:rPr>
                <w:rFonts w:hint="default" w:ascii="Arial" w:hAnsi="Arial" w:cs="Arial"/>
                <w:sz w:val="20"/>
                <w:szCs w:val="20"/>
              </w:rPr>
            </w:pPr>
            <w:r>
              <w:rPr>
                <w:rFonts w:hint="default" w:ascii="Arial" w:hAnsi="Arial" w:cs="Arial"/>
                <w:sz w:val="20"/>
                <w:szCs w:val="20"/>
                <w:lang w:val="en-US"/>
              </w:rPr>
              <w:t>LMF</w:t>
            </w:r>
          </w:p>
          <w:p w14:paraId="4BB780E8">
            <w:pPr>
              <w:rPr>
                <w:rFonts w:hint="eastAsia" w:ascii="Arial" w:hAnsi="Arial" w:cs="Arial"/>
                <w:bCs/>
                <w:sz w:val="20"/>
                <w:szCs w:val="20"/>
                <w:vertAlign w:val="baseline"/>
                <w:lang w:val="en-US" w:eastAsia="zh-CN"/>
              </w:rPr>
            </w:pPr>
            <w:r>
              <w:rPr>
                <w:rFonts w:hint="default" w:ascii="Arial" w:hAnsi="Arial" w:cs="Arial"/>
                <w:sz w:val="20"/>
                <w:szCs w:val="20"/>
              </w:rPr>
              <w:t>Note: transfer of label and its related data is out of RAN1 scope.</w:t>
            </w:r>
          </w:p>
        </w:tc>
      </w:tr>
    </w:tbl>
    <w:p w14:paraId="31EDC0E5">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In general, the training data can be generated by the UE (case 2b) or gNB (case 3b) and terminated at LMF. Hence, it is straight forward to extend the LPP and NRPPa protocol to collect data for LMF-sided model training. However, the details of training data are still under RAN1 discussion. Thus, we can wait for RAN1</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s conclusion on the details of training data. In addition, RAN3 work will be needed if the enhancements on NRPPa are identified.</w:t>
      </w:r>
    </w:p>
    <w:p w14:paraId="50168705">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6: For positioning with LMF-side model (case 2b), extend the LPP protocol to collect data from UE to LMF for model training. The details are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conclusion.</w:t>
      </w:r>
    </w:p>
    <w:p w14:paraId="70123B64">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7: For positioning with LMF-side model (case 3b), extend the NRPPa protocol to collect data from gNB to LMF for model training. The details are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conclusion.</w:t>
      </w:r>
    </w:p>
    <w:p w14:paraId="3290511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bCs w:val="0"/>
          <w:sz w:val="28"/>
          <w:szCs w:val="28"/>
          <w:lang w:val="en-US" w:eastAsia="zh-CN"/>
        </w:rPr>
      </w:pPr>
    </w:p>
    <w:p w14:paraId="04B6D025">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75665F39">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NW side data collection</w:t>
      </w:r>
      <w:r>
        <w:rPr>
          <w:rFonts w:ascii="Arial" w:hAnsi="Arial" w:eastAsia="宋体" w:cs="Arial"/>
          <w:kern w:val="0"/>
          <w:sz w:val="20"/>
          <w:szCs w:val="20"/>
          <w:lang w:val="en-GB" w:eastAsia="en-US"/>
        </w:rPr>
        <w:t>.</w:t>
      </w:r>
    </w:p>
    <w:p w14:paraId="0392F64A">
      <w:pPr>
        <w:spacing w:after="120" w:afterLines="50"/>
        <w:rPr>
          <w:rFonts w:ascii="Arial" w:hAnsi="Arial" w:cs="Arial"/>
          <w:b/>
          <w:i/>
          <w:iCs/>
          <w:sz w:val="20"/>
          <w:szCs w:val="20"/>
          <w:u w:val="single"/>
        </w:rPr>
      </w:pPr>
      <w:r>
        <w:rPr>
          <w:rFonts w:hint="eastAsia" w:ascii="Arial" w:hAnsi="Arial" w:cs="Arial"/>
          <w:b/>
          <w:i/>
          <w:iCs/>
          <w:sz w:val="20"/>
          <w:szCs w:val="20"/>
          <w:u w:val="single"/>
        </w:rPr>
        <w:t>Beam management with gNB-sided model</w:t>
      </w:r>
    </w:p>
    <w:p w14:paraId="1CB4B5C0">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1: For gNB-centric approach for beam management use case, RAN2 to discuss whether the collected data for model training (e.g. L1-RSRPs and/or beam-IDs) should to be authorized by user consent.</w:t>
      </w:r>
    </w:p>
    <w:p w14:paraId="0AD45A96">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1: For BM Case 1, one single RRC signaling can support ~144 samples reporting, and the corresponding reporting cycle will be 5760ms. Considering the UL RRC segmentation is up to 16, the reporting period can be extended to 92160ms</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1.5min.</w:t>
      </w:r>
    </w:p>
    <w:p w14:paraId="5FB15770">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2: For the case when single RRC message is not sufficient, it can be avoided by NW implementation, e.g. configure a suitable report interval which guarantees single RRC message is sufficient for collected data, so it is unnecessary to introduce additional enhancements.</w:t>
      </w:r>
    </w:p>
    <w:p w14:paraId="4B6B7CDB">
      <w:pPr>
        <w:spacing w:after="120" w:afterLines="50"/>
        <w:rPr>
          <w:rFonts w:hint="default" w:ascii="Arial" w:hAnsi="Arial" w:cs="Arial" w:eastAsiaTheme="minorEastAsia"/>
          <w:b/>
          <w:i/>
          <w:iCs/>
          <w:sz w:val="20"/>
          <w:szCs w:val="20"/>
          <w:u w:val="single"/>
          <w:lang w:val="en-US" w:eastAsia="zh-CN"/>
        </w:rPr>
      </w:pPr>
      <w:r>
        <w:rPr>
          <w:rFonts w:hint="eastAsia" w:ascii="Arial" w:hAnsi="Arial" w:cs="Arial"/>
          <w:b/>
          <w:i/>
          <w:iCs/>
          <w:sz w:val="20"/>
          <w:szCs w:val="20"/>
          <w:u w:val="single"/>
          <w:lang w:val="en-US" w:eastAsia="zh-CN"/>
        </w:rPr>
        <w:t>Positioning</w:t>
      </w:r>
      <w:r>
        <w:rPr>
          <w:rFonts w:hint="eastAsia" w:ascii="Arial" w:hAnsi="Arial" w:cs="Arial"/>
          <w:b/>
          <w:i/>
          <w:iCs/>
          <w:sz w:val="20"/>
          <w:szCs w:val="20"/>
          <w:u w:val="single"/>
        </w:rPr>
        <w:t xml:space="preserve"> with gNB-sided model</w:t>
      </w:r>
      <w:r>
        <w:rPr>
          <w:rFonts w:hint="eastAsia" w:ascii="Arial" w:hAnsi="Arial" w:cs="Arial"/>
          <w:b/>
          <w:i/>
          <w:iCs/>
          <w:sz w:val="20"/>
          <w:szCs w:val="20"/>
          <w:u w:val="single"/>
          <w:lang w:val="en-US" w:eastAsia="zh-CN"/>
        </w:rPr>
        <w:t xml:space="preserve"> (case 3a)</w:t>
      </w:r>
    </w:p>
    <w:p w14:paraId="1A54CAF6">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3: For positioning with gNB-sided model (case 3a), enhance NRPPa to transmit the data (e.g. the label and its related data) from LMF to gNB for model training.</w:t>
      </w:r>
    </w:p>
    <w:p w14:paraId="3C635D1C">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4: For positioning with gNB-sided model (case 3a), there may be some impacts on Xn interface if the measurement and its related data (e.g., timestamp) are generated by TRP/gNB for training, but it is up to RAN3 discussion.</w:t>
      </w:r>
    </w:p>
    <w:p w14:paraId="543DC20C">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5: For positioning with gNB-sided model (case 3a), there is no additional impact on Uu interface.</w:t>
      </w:r>
    </w:p>
    <w:p w14:paraId="7BEB98B3">
      <w:pPr>
        <w:spacing w:after="120" w:afterLines="50"/>
        <w:rPr>
          <w:rFonts w:hint="default" w:ascii="Arial" w:hAnsi="Arial" w:cs="Arial" w:eastAsiaTheme="minorEastAsia"/>
          <w:b/>
          <w:i/>
          <w:iCs/>
          <w:sz w:val="20"/>
          <w:szCs w:val="20"/>
          <w:u w:val="single"/>
          <w:lang w:val="en-US" w:eastAsia="zh-CN"/>
        </w:rPr>
      </w:pPr>
      <w:r>
        <w:rPr>
          <w:rFonts w:hint="eastAsia" w:ascii="Arial" w:hAnsi="Arial" w:cs="Arial"/>
          <w:b/>
          <w:i/>
          <w:iCs/>
          <w:sz w:val="20"/>
          <w:szCs w:val="20"/>
          <w:u w:val="single"/>
          <w:lang w:val="en-US" w:eastAsia="zh-CN"/>
        </w:rPr>
        <w:t>Positioning</w:t>
      </w:r>
      <w:r>
        <w:rPr>
          <w:rFonts w:hint="eastAsia" w:ascii="Arial" w:hAnsi="Arial" w:cs="Arial"/>
          <w:b/>
          <w:i/>
          <w:iCs/>
          <w:sz w:val="20"/>
          <w:szCs w:val="20"/>
          <w:u w:val="single"/>
        </w:rPr>
        <w:t xml:space="preserve"> with </w:t>
      </w:r>
      <w:r>
        <w:rPr>
          <w:rFonts w:hint="eastAsia" w:ascii="Arial" w:hAnsi="Arial" w:cs="Arial"/>
          <w:b/>
          <w:i/>
          <w:iCs/>
          <w:sz w:val="20"/>
          <w:szCs w:val="20"/>
          <w:u w:val="single"/>
          <w:lang w:val="en-US" w:eastAsia="zh-CN"/>
        </w:rPr>
        <w:t>LMF</w:t>
      </w:r>
      <w:r>
        <w:rPr>
          <w:rFonts w:hint="eastAsia" w:ascii="Arial" w:hAnsi="Arial" w:cs="Arial"/>
          <w:b/>
          <w:i/>
          <w:iCs/>
          <w:sz w:val="20"/>
          <w:szCs w:val="20"/>
          <w:u w:val="single"/>
        </w:rPr>
        <w:t>-sided model</w:t>
      </w:r>
      <w:r>
        <w:rPr>
          <w:rFonts w:hint="eastAsia" w:ascii="Arial" w:hAnsi="Arial" w:cs="Arial"/>
          <w:b/>
          <w:i/>
          <w:iCs/>
          <w:sz w:val="20"/>
          <w:szCs w:val="20"/>
          <w:u w:val="single"/>
          <w:lang w:val="en-US" w:eastAsia="zh-CN"/>
        </w:rPr>
        <w:t xml:space="preserve"> (case 2b and 3b)</w:t>
      </w:r>
    </w:p>
    <w:p w14:paraId="670357E5">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6: For positioning with LMF-side model (case 2b), extend the LPP protocol to collect data from UE to LMF for model training. The details are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conclusion.</w:t>
      </w:r>
    </w:p>
    <w:p w14:paraId="34DA33C6">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7: For positioning with LMF-side model (case 3b), extend the NRPPa protocol to collect data from gNB to LMF for model training. The details are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conclusion.</w:t>
      </w:r>
    </w:p>
    <w:p w14:paraId="62AC44B9">
      <w:pPr>
        <w:spacing w:before="120" w:beforeLines="50" w:after="120" w:line="260" w:lineRule="exact"/>
        <w:rPr>
          <w:rFonts w:hint="eastAsia" w:ascii="Arial" w:hAnsi="Arial" w:eastAsia="宋体" w:cs="Arial"/>
          <w:b/>
          <w:bCs/>
          <w:sz w:val="20"/>
          <w:szCs w:val="20"/>
          <w:lang w:val="en-US" w:eastAsia="zh-CN"/>
        </w:rPr>
      </w:pPr>
    </w:p>
    <w:p w14:paraId="3C7A7E8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89051A9">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Draft_R2_125bis_Meeting_Report_v2</w:t>
      </w:r>
    </w:p>
    <w:p w14:paraId="1F587135">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6</w:t>
      </w:r>
      <w:r>
        <w:rPr>
          <w:rFonts w:hint="eastAsia" w:ascii="Arial" w:hAnsi="Arial" w:eastAsia="宋体" w:cs="Arial"/>
          <w:kern w:val="0"/>
          <w:sz w:val="20"/>
          <w:szCs w:val="20"/>
          <w:lang w:val="en-GB" w:eastAsia="en-US"/>
        </w:rPr>
        <w:t>_Meeting_Report_v2</w:t>
      </w:r>
    </w:p>
    <w:p w14:paraId="74F13D75">
      <w:pPr>
        <w:widowControl/>
        <w:numPr>
          <w:ilvl w:val="0"/>
          <w:numId w:val="12"/>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p w14:paraId="05C3237F">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TR 38.843 Study on Artificial Intelligence (AI)/Machine Learning (ML) for NR air interface</w:t>
      </w:r>
    </w:p>
    <w:p w14:paraId="7AAC4A7F">
      <w:pPr>
        <w:widowControl/>
        <w:numPr>
          <w:ilvl w:val="0"/>
          <w:numId w:val="12"/>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TS 38.331 </w:t>
      </w:r>
      <w:r>
        <w:rPr>
          <w:rFonts w:hint="eastAsia" w:ascii="Arial" w:hAnsi="Arial" w:eastAsia="宋体" w:cs="Arial"/>
          <w:kern w:val="0"/>
          <w:sz w:val="20"/>
          <w:szCs w:val="20"/>
        </w:rPr>
        <w:t>NR; Radio Resource Control (RRC)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2FE22203"/>
    <w:multiLevelType w:val="multilevel"/>
    <w:tmpl w:val="2FE2220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FEB0EFD"/>
    <w:multiLevelType w:val="multilevel"/>
    <w:tmpl w:val="2FEB0E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BED944"/>
    <w:multiLevelType w:val="singleLevel"/>
    <w:tmpl w:val="50BED944"/>
    <w:lvl w:ilvl="0" w:tentative="0">
      <w:start w:val="1"/>
      <w:numFmt w:val="decimal"/>
      <w:lvlText w:val="%1"/>
      <w:lvlJc w:val="left"/>
    </w:lvl>
  </w:abstractNum>
  <w:abstractNum w:abstractNumId="9">
    <w:nsid w:val="59BA7054"/>
    <w:multiLevelType w:val="multilevel"/>
    <w:tmpl w:val="59BA7054"/>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0"/>
  </w:num>
  <w:num w:numId="3">
    <w:abstractNumId w:val="11"/>
  </w:num>
  <w:num w:numId="4">
    <w:abstractNumId w:val="10"/>
  </w:num>
  <w:num w:numId="5">
    <w:abstractNumId w:val="8"/>
  </w:num>
  <w:num w:numId="6">
    <w:abstractNumId w:val="2"/>
  </w:num>
  <w:num w:numId="7">
    <w:abstractNumId w:val="1"/>
  </w:num>
  <w:num w:numId="8">
    <w:abstractNumId w:val="6"/>
  </w:num>
  <w:num w:numId="9">
    <w:abstractNumId w:val="9"/>
  </w:num>
  <w:num w:numId="10">
    <w:abstractNumId w:val="3"/>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34F10"/>
    <w:rsid w:val="00F47D8B"/>
    <w:rsid w:val="00F50B60"/>
    <w:rsid w:val="00F627D0"/>
    <w:rsid w:val="00F841B6"/>
    <w:rsid w:val="00F92EA1"/>
    <w:rsid w:val="00FE674B"/>
    <w:rsid w:val="01041DE1"/>
    <w:rsid w:val="011A4F78"/>
    <w:rsid w:val="01474FCB"/>
    <w:rsid w:val="016C5974"/>
    <w:rsid w:val="016E658B"/>
    <w:rsid w:val="01840FB9"/>
    <w:rsid w:val="019A524E"/>
    <w:rsid w:val="01A0498E"/>
    <w:rsid w:val="01A574CF"/>
    <w:rsid w:val="01A60C1B"/>
    <w:rsid w:val="01E966BF"/>
    <w:rsid w:val="02395107"/>
    <w:rsid w:val="029B08C6"/>
    <w:rsid w:val="02A424C3"/>
    <w:rsid w:val="02B71025"/>
    <w:rsid w:val="02FA6D08"/>
    <w:rsid w:val="0300491B"/>
    <w:rsid w:val="030E32B0"/>
    <w:rsid w:val="03190295"/>
    <w:rsid w:val="034F533A"/>
    <w:rsid w:val="03877AE8"/>
    <w:rsid w:val="038A1F16"/>
    <w:rsid w:val="041A101A"/>
    <w:rsid w:val="041D6583"/>
    <w:rsid w:val="04525A53"/>
    <w:rsid w:val="04861CA0"/>
    <w:rsid w:val="04A12BB9"/>
    <w:rsid w:val="04A37BF0"/>
    <w:rsid w:val="04F25DBA"/>
    <w:rsid w:val="04F46CEE"/>
    <w:rsid w:val="04FD5053"/>
    <w:rsid w:val="052159E9"/>
    <w:rsid w:val="054134AD"/>
    <w:rsid w:val="056C27CB"/>
    <w:rsid w:val="0571089C"/>
    <w:rsid w:val="058844D8"/>
    <w:rsid w:val="059A3C03"/>
    <w:rsid w:val="05AD7C3D"/>
    <w:rsid w:val="05B81468"/>
    <w:rsid w:val="05B92B80"/>
    <w:rsid w:val="05CC288F"/>
    <w:rsid w:val="05D37F8D"/>
    <w:rsid w:val="05DD1BF0"/>
    <w:rsid w:val="05FB3716"/>
    <w:rsid w:val="061355E6"/>
    <w:rsid w:val="063A49AE"/>
    <w:rsid w:val="064F5C41"/>
    <w:rsid w:val="069766D8"/>
    <w:rsid w:val="06EA3869"/>
    <w:rsid w:val="06EB297F"/>
    <w:rsid w:val="06F44776"/>
    <w:rsid w:val="071830B3"/>
    <w:rsid w:val="07232B13"/>
    <w:rsid w:val="072E12A5"/>
    <w:rsid w:val="072E4FA9"/>
    <w:rsid w:val="07404B50"/>
    <w:rsid w:val="07474730"/>
    <w:rsid w:val="07554650"/>
    <w:rsid w:val="075F5104"/>
    <w:rsid w:val="079F7BD5"/>
    <w:rsid w:val="07BA03C9"/>
    <w:rsid w:val="07CC0B7F"/>
    <w:rsid w:val="080B0E60"/>
    <w:rsid w:val="08241B14"/>
    <w:rsid w:val="08346E32"/>
    <w:rsid w:val="083D4534"/>
    <w:rsid w:val="084F3982"/>
    <w:rsid w:val="08675800"/>
    <w:rsid w:val="0870581B"/>
    <w:rsid w:val="08BD2F14"/>
    <w:rsid w:val="08CB51D0"/>
    <w:rsid w:val="08D80E0C"/>
    <w:rsid w:val="08FE04F3"/>
    <w:rsid w:val="09085B92"/>
    <w:rsid w:val="093223D0"/>
    <w:rsid w:val="09414F75"/>
    <w:rsid w:val="094470AB"/>
    <w:rsid w:val="09516CF9"/>
    <w:rsid w:val="095A6DFD"/>
    <w:rsid w:val="095E3F14"/>
    <w:rsid w:val="09926330"/>
    <w:rsid w:val="09A24612"/>
    <w:rsid w:val="09AD7F7C"/>
    <w:rsid w:val="09B92009"/>
    <w:rsid w:val="09BB3ACA"/>
    <w:rsid w:val="09C411E9"/>
    <w:rsid w:val="09D63199"/>
    <w:rsid w:val="09F124DC"/>
    <w:rsid w:val="09F8719E"/>
    <w:rsid w:val="0A0C359D"/>
    <w:rsid w:val="0A103B20"/>
    <w:rsid w:val="0A1469F1"/>
    <w:rsid w:val="0A173D8A"/>
    <w:rsid w:val="0A382873"/>
    <w:rsid w:val="0A477D88"/>
    <w:rsid w:val="0A78659D"/>
    <w:rsid w:val="0A7B4003"/>
    <w:rsid w:val="0AA35EAE"/>
    <w:rsid w:val="0AAC7074"/>
    <w:rsid w:val="0AB622D1"/>
    <w:rsid w:val="0ADE2342"/>
    <w:rsid w:val="0AE21792"/>
    <w:rsid w:val="0AF33383"/>
    <w:rsid w:val="0AF55015"/>
    <w:rsid w:val="0AFD0EBC"/>
    <w:rsid w:val="0B054A96"/>
    <w:rsid w:val="0B11078A"/>
    <w:rsid w:val="0B7E67EB"/>
    <w:rsid w:val="0B944661"/>
    <w:rsid w:val="0B96175E"/>
    <w:rsid w:val="0BB81E48"/>
    <w:rsid w:val="0BBD7E79"/>
    <w:rsid w:val="0BE427FA"/>
    <w:rsid w:val="0BF550E1"/>
    <w:rsid w:val="0C202296"/>
    <w:rsid w:val="0C415301"/>
    <w:rsid w:val="0C4853AF"/>
    <w:rsid w:val="0C5466CF"/>
    <w:rsid w:val="0C6C1EE0"/>
    <w:rsid w:val="0C7F3E15"/>
    <w:rsid w:val="0CC05689"/>
    <w:rsid w:val="0CD5224C"/>
    <w:rsid w:val="0CE47224"/>
    <w:rsid w:val="0CED527E"/>
    <w:rsid w:val="0D362C45"/>
    <w:rsid w:val="0D711EBE"/>
    <w:rsid w:val="0D771EA7"/>
    <w:rsid w:val="0DA728AC"/>
    <w:rsid w:val="0DAD175B"/>
    <w:rsid w:val="0DB22432"/>
    <w:rsid w:val="0DDF12DC"/>
    <w:rsid w:val="0DE11C21"/>
    <w:rsid w:val="0DE14E46"/>
    <w:rsid w:val="0E3D4FDF"/>
    <w:rsid w:val="0E4A09D7"/>
    <w:rsid w:val="0E56201A"/>
    <w:rsid w:val="0E6E3C34"/>
    <w:rsid w:val="0EAF327B"/>
    <w:rsid w:val="0EE52C9E"/>
    <w:rsid w:val="0F1D748A"/>
    <w:rsid w:val="0F4E079B"/>
    <w:rsid w:val="0F732504"/>
    <w:rsid w:val="0F782620"/>
    <w:rsid w:val="0F8A7784"/>
    <w:rsid w:val="0F8C51E0"/>
    <w:rsid w:val="0FB25952"/>
    <w:rsid w:val="0FC803F4"/>
    <w:rsid w:val="10090A65"/>
    <w:rsid w:val="1081433D"/>
    <w:rsid w:val="108B22CD"/>
    <w:rsid w:val="10AC6F3F"/>
    <w:rsid w:val="10C31C47"/>
    <w:rsid w:val="10C64AE7"/>
    <w:rsid w:val="10F04644"/>
    <w:rsid w:val="110171B2"/>
    <w:rsid w:val="11171B9A"/>
    <w:rsid w:val="111F30A5"/>
    <w:rsid w:val="11900A86"/>
    <w:rsid w:val="119B1CE5"/>
    <w:rsid w:val="11D44799"/>
    <w:rsid w:val="11D65F4E"/>
    <w:rsid w:val="11E4251C"/>
    <w:rsid w:val="11E76EE9"/>
    <w:rsid w:val="11F2137A"/>
    <w:rsid w:val="1236016D"/>
    <w:rsid w:val="123900DB"/>
    <w:rsid w:val="123B6254"/>
    <w:rsid w:val="12527EEB"/>
    <w:rsid w:val="125C6826"/>
    <w:rsid w:val="12934DEA"/>
    <w:rsid w:val="12A73823"/>
    <w:rsid w:val="12B04029"/>
    <w:rsid w:val="12BD5E5F"/>
    <w:rsid w:val="12DA4242"/>
    <w:rsid w:val="130A48C3"/>
    <w:rsid w:val="132303DD"/>
    <w:rsid w:val="1331496D"/>
    <w:rsid w:val="13392934"/>
    <w:rsid w:val="135167B1"/>
    <w:rsid w:val="13583AE1"/>
    <w:rsid w:val="1358580E"/>
    <w:rsid w:val="135A6265"/>
    <w:rsid w:val="136A73BB"/>
    <w:rsid w:val="13742A14"/>
    <w:rsid w:val="139327D8"/>
    <w:rsid w:val="13A46671"/>
    <w:rsid w:val="13D36FA4"/>
    <w:rsid w:val="13FA68E0"/>
    <w:rsid w:val="14256000"/>
    <w:rsid w:val="1448292D"/>
    <w:rsid w:val="1466786F"/>
    <w:rsid w:val="147E654B"/>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473F31"/>
    <w:rsid w:val="16653D7B"/>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D735CF"/>
    <w:rsid w:val="17FF4932"/>
    <w:rsid w:val="18035F6A"/>
    <w:rsid w:val="1830753E"/>
    <w:rsid w:val="18550589"/>
    <w:rsid w:val="185C58E1"/>
    <w:rsid w:val="186366A3"/>
    <w:rsid w:val="187A66B9"/>
    <w:rsid w:val="187F3411"/>
    <w:rsid w:val="1881324F"/>
    <w:rsid w:val="18A246AF"/>
    <w:rsid w:val="18F32680"/>
    <w:rsid w:val="18F80417"/>
    <w:rsid w:val="18FE1274"/>
    <w:rsid w:val="192F165F"/>
    <w:rsid w:val="195230E4"/>
    <w:rsid w:val="195E3B99"/>
    <w:rsid w:val="196E4FB3"/>
    <w:rsid w:val="19C51AEA"/>
    <w:rsid w:val="19CE1BFF"/>
    <w:rsid w:val="19E27BFB"/>
    <w:rsid w:val="19F1587E"/>
    <w:rsid w:val="1A1C0B7B"/>
    <w:rsid w:val="1A40430B"/>
    <w:rsid w:val="1A4C49E1"/>
    <w:rsid w:val="1A9A126F"/>
    <w:rsid w:val="1AA4601E"/>
    <w:rsid w:val="1ABB3621"/>
    <w:rsid w:val="1ABF7C53"/>
    <w:rsid w:val="1ADE6206"/>
    <w:rsid w:val="1AE14356"/>
    <w:rsid w:val="1AE7452F"/>
    <w:rsid w:val="1AEF3B61"/>
    <w:rsid w:val="1B073464"/>
    <w:rsid w:val="1B0B332F"/>
    <w:rsid w:val="1B5E2B2B"/>
    <w:rsid w:val="1BA06FEE"/>
    <w:rsid w:val="1BB22919"/>
    <w:rsid w:val="1BF91505"/>
    <w:rsid w:val="1C064DE2"/>
    <w:rsid w:val="1C263D41"/>
    <w:rsid w:val="1C4246FD"/>
    <w:rsid w:val="1C6673DB"/>
    <w:rsid w:val="1C6A1BB2"/>
    <w:rsid w:val="1C726F5B"/>
    <w:rsid w:val="1C8658F9"/>
    <w:rsid w:val="1C954CA8"/>
    <w:rsid w:val="1CC529AF"/>
    <w:rsid w:val="1CC914E2"/>
    <w:rsid w:val="1D031FA5"/>
    <w:rsid w:val="1D700D25"/>
    <w:rsid w:val="1DA1677A"/>
    <w:rsid w:val="1DA90A2F"/>
    <w:rsid w:val="1DD6639F"/>
    <w:rsid w:val="1DE55E1B"/>
    <w:rsid w:val="1DEA2636"/>
    <w:rsid w:val="1E015BFF"/>
    <w:rsid w:val="1E261FEC"/>
    <w:rsid w:val="1E4A5D6E"/>
    <w:rsid w:val="1E5D014C"/>
    <w:rsid w:val="1E625159"/>
    <w:rsid w:val="1E6C052F"/>
    <w:rsid w:val="1E8017FF"/>
    <w:rsid w:val="1E8A1312"/>
    <w:rsid w:val="1EB31B66"/>
    <w:rsid w:val="1EB529F8"/>
    <w:rsid w:val="1EC035D7"/>
    <w:rsid w:val="1EC53CB0"/>
    <w:rsid w:val="1EF17AB3"/>
    <w:rsid w:val="1F0A0750"/>
    <w:rsid w:val="1F1F4D17"/>
    <w:rsid w:val="1F630DDF"/>
    <w:rsid w:val="1F8A3BD5"/>
    <w:rsid w:val="1FE63CE8"/>
    <w:rsid w:val="20254C14"/>
    <w:rsid w:val="204C2272"/>
    <w:rsid w:val="205E7BE3"/>
    <w:rsid w:val="208A18F1"/>
    <w:rsid w:val="208D63E6"/>
    <w:rsid w:val="20943FF9"/>
    <w:rsid w:val="20A506BA"/>
    <w:rsid w:val="20F63843"/>
    <w:rsid w:val="20FE18B0"/>
    <w:rsid w:val="21376EA4"/>
    <w:rsid w:val="213E3F71"/>
    <w:rsid w:val="21513A3C"/>
    <w:rsid w:val="215A766D"/>
    <w:rsid w:val="21667FDB"/>
    <w:rsid w:val="218A4F7E"/>
    <w:rsid w:val="219C1508"/>
    <w:rsid w:val="21FA5606"/>
    <w:rsid w:val="22046DF1"/>
    <w:rsid w:val="220A4513"/>
    <w:rsid w:val="22121299"/>
    <w:rsid w:val="222E6DF6"/>
    <w:rsid w:val="229575D0"/>
    <w:rsid w:val="22B32E1B"/>
    <w:rsid w:val="22CD6AE0"/>
    <w:rsid w:val="236906A5"/>
    <w:rsid w:val="2375481A"/>
    <w:rsid w:val="23765F46"/>
    <w:rsid w:val="23797368"/>
    <w:rsid w:val="23822B30"/>
    <w:rsid w:val="23B06B01"/>
    <w:rsid w:val="23B828A0"/>
    <w:rsid w:val="23EE120B"/>
    <w:rsid w:val="23F8406C"/>
    <w:rsid w:val="2403705B"/>
    <w:rsid w:val="24066BDB"/>
    <w:rsid w:val="24110B80"/>
    <w:rsid w:val="24453591"/>
    <w:rsid w:val="24572D18"/>
    <w:rsid w:val="24841C1D"/>
    <w:rsid w:val="249D5D77"/>
    <w:rsid w:val="24B445FB"/>
    <w:rsid w:val="24BD6504"/>
    <w:rsid w:val="24C74F14"/>
    <w:rsid w:val="24D708E2"/>
    <w:rsid w:val="24DB0B9B"/>
    <w:rsid w:val="24FB6730"/>
    <w:rsid w:val="251B6F7E"/>
    <w:rsid w:val="252515BC"/>
    <w:rsid w:val="252D2E7E"/>
    <w:rsid w:val="25787665"/>
    <w:rsid w:val="258969EA"/>
    <w:rsid w:val="25F5013E"/>
    <w:rsid w:val="262A1C6D"/>
    <w:rsid w:val="262F627F"/>
    <w:rsid w:val="26315BFD"/>
    <w:rsid w:val="264659B5"/>
    <w:rsid w:val="264A4407"/>
    <w:rsid w:val="26537397"/>
    <w:rsid w:val="26590269"/>
    <w:rsid w:val="2660154C"/>
    <w:rsid w:val="26A276B5"/>
    <w:rsid w:val="26BA68C7"/>
    <w:rsid w:val="26BB1824"/>
    <w:rsid w:val="26BF5E40"/>
    <w:rsid w:val="26F237CD"/>
    <w:rsid w:val="27057CC8"/>
    <w:rsid w:val="2719754A"/>
    <w:rsid w:val="2725126B"/>
    <w:rsid w:val="274C2D2B"/>
    <w:rsid w:val="27525FCD"/>
    <w:rsid w:val="2796594E"/>
    <w:rsid w:val="27BC024E"/>
    <w:rsid w:val="27BE3E87"/>
    <w:rsid w:val="27C17045"/>
    <w:rsid w:val="27C35275"/>
    <w:rsid w:val="283167B4"/>
    <w:rsid w:val="28682A73"/>
    <w:rsid w:val="289B334C"/>
    <w:rsid w:val="289D577F"/>
    <w:rsid w:val="28AA1F85"/>
    <w:rsid w:val="28E404D9"/>
    <w:rsid w:val="28F4407D"/>
    <w:rsid w:val="291138C7"/>
    <w:rsid w:val="29120E51"/>
    <w:rsid w:val="29713020"/>
    <w:rsid w:val="29733D9F"/>
    <w:rsid w:val="29A61468"/>
    <w:rsid w:val="29BE37C1"/>
    <w:rsid w:val="29DD03DE"/>
    <w:rsid w:val="2A5039D7"/>
    <w:rsid w:val="2A665688"/>
    <w:rsid w:val="2A7D74CC"/>
    <w:rsid w:val="2A7F4563"/>
    <w:rsid w:val="2AB72260"/>
    <w:rsid w:val="2B02766B"/>
    <w:rsid w:val="2B1627CA"/>
    <w:rsid w:val="2B3959B8"/>
    <w:rsid w:val="2B3F4C1F"/>
    <w:rsid w:val="2B452058"/>
    <w:rsid w:val="2B4D1216"/>
    <w:rsid w:val="2B58393A"/>
    <w:rsid w:val="2B8030A5"/>
    <w:rsid w:val="2BE06712"/>
    <w:rsid w:val="2C002162"/>
    <w:rsid w:val="2C095760"/>
    <w:rsid w:val="2C0D429C"/>
    <w:rsid w:val="2C4016E9"/>
    <w:rsid w:val="2C6E581C"/>
    <w:rsid w:val="2C717596"/>
    <w:rsid w:val="2C7A7AA0"/>
    <w:rsid w:val="2CA30589"/>
    <w:rsid w:val="2CB57056"/>
    <w:rsid w:val="2CC31B0E"/>
    <w:rsid w:val="2D146D2C"/>
    <w:rsid w:val="2D155FB3"/>
    <w:rsid w:val="2D3B7B03"/>
    <w:rsid w:val="2D440581"/>
    <w:rsid w:val="2D470656"/>
    <w:rsid w:val="2D493ADC"/>
    <w:rsid w:val="2D55451C"/>
    <w:rsid w:val="2D5B158F"/>
    <w:rsid w:val="2D865C52"/>
    <w:rsid w:val="2DD85F0E"/>
    <w:rsid w:val="2DF144D1"/>
    <w:rsid w:val="2DFB6036"/>
    <w:rsid w:val="2E037C91"/>
    <w:rsid w:val="2E3472AB"/>
    <w:rsid w:val="2E3D031C"/>
    <w:rsid w:val="2E916CDE"/>
    <w:rsid w:val="2EA86437"/>
    <w:rsid w:val="2EB103B1"/>
    <w:rsid w:val="2F0F71E6"/>
    <w:rsid w:val="2F125BF3"/>
    <w:rsid w:val="2F13163F"/>
    <w:rsid w:val="2F383A5C"/>
    <w:rsid w:val="2F3A7B8C"/>
    <w:rsid w:val="2F4559EE"/>
    <w:rsid w:val="2F742945"/>
    <w:rsid w:val="2F9D4B14"/>
    <w:rsid w:val="2FBE43F5"/>
    <w:rsid w:val="2FC53C32"/>
    <w:rsid w:val="2FC55B9D"/>
    <w:rsid w:val="2FD157C7"/>
    <w:rsid w:val="300A115E"/>
    <w:rsid w:val="301241C3"/>
    <w:rsid w:val="30296BB8"/>
    <w:rsid w:val="308811B6"/>
    <w:rsid w:val="30881C59"/>
    <w:rsid w:val="309D4655"/>
    <w:rsid w:val="30C026F3"/>
    <w:rsid w:val="30EA4040"/>
    <w:rsid w:val="315423FA"/>
    <w:rsid w:val="315B7AEC"/>
    <w:rsid w:val="31710789"/>
    <w:rsid w:val="317503B0"/>
    <w:rsid w:val="31D53C4D"/>
    <w:rsid w:val="31E3590E"/>
    <w:rsid w:val="31F2254D"/>
    <w:rsid w:val="31F71A11"/>
    <w:rsid w:val="31FE12AB"/>
    <w:rsid w:val="320E382B"/>
    <w:rsid w:val="321A185A"/>
    <w:rsid w:val="321B4537"/>
    <w:rsid w:val="32513A45"/>
    <w:rsid w:val="325B682D"/>
    <w:rsid w:val="32B50B2C"/>
    <w:rsid w:val="32C84DFE"/>
    <w:rsid w:val="32FA3DAF"/>
    <w:rsid w:val="332D5F33"/>
    <w:rsid w:val="3337740D"/>
    <w:rsid w:val="337F1035"/>
    <w:rsid w:val="33805DA1"/>
    <w:rsid w:val="338C56E4"/>
    <w:rsid w:val="33934B2E"/>
    <w:rsid w:val="339441CF"/>
    <w:rsid w:val="33B60D2B"/>
    <w:rsid w:val="33C37075"/>
    <w:rsid w:val="34062C68"/>
    <w:rsid w:val="341C738A"/>
    <w:rsid w:val="34234173"/>
    <w:rsid w:val="348F0A80"/>
    <w:rsid w:val="349158FD"/>
    <w:rsid w:val="34A131A3"/>
    <w:rsid w:val="34A26022"/>
    <w:rsid w:val="34B0567F"/>
    <w:rsid w:val="34B443F6"/>
    <w:rsid w:val="34E12F4E"/>
    <w:rsid w:val="34EB31AA"/>
    <w:rsid w:val="34EC41DF"/>
    <w:rsid w:val="35040A33"/>
    <w:rsid w:val="351A24AD"/>
    <w:rsid w:val="35273121"/>
    <w:rsid w:val="352F69D9"/>
    <w:rsid w:val="354E123E"/>
    <w:rsid w:val="354F2AD2"/>
    <w:rsid w:val="358D6E3D"/>
    <w:rsid w:val="35A70F55"/>
    <w:rsid w:val="35C36B07"/>
    <w:rsid w:val="35C60438"/>
    <w:rsid w:val="360D6591"/>
    <w:rsid w:val="361F2C5E"/>
    <w:rsid w:val="363976F7"/>
    <w:rsid w:val="36681B72"/>
    <w:rsid w:val="366E68DA"/>
    <w:rsid w:val="36BD137C"/>
    <w:rsid w:val="36CB1803"/>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C63525"/>
    <w:rsid w:val="38CC58A6"/>
    <w:rsid w:val="38FC0060"/>
    <w:rsid w:val="38FC32F5"/>
    <w:rsid w:val="38FD17EE"/>
    <w:rsid w:val="39030A9D"/>
    <w:rsid w:val="39113643"/>
    <w:rsid w:val="393A37CB"/>
    <w:rsid w:val="396866FD"/>
    <w:rsid w:val="39741B90"/>
    <w:rsid w:val="397E03C2"/>
    <w:rsid w:val="39BB3AC3"/>
    <w:rsid w:val="39BC3B6C"/>
    <w:rsid w:val="39DF043A"/>
    <w:rsid w:val="39FE32B3"/>
    <w:rsid w:val="39FF59A7"/>
    <w:rsid w:val="3A06128C"/>
    <w:rsid w:val="3A070DC0"/>
    <w:rsid w:val="3A1C1961"/>
    <w:rsid w:val="3A2065C7"/>
    <w:rsid w:val="3A213653"/>
    <w:rsid w:val="3A3315EB"/>
    <w:rsid w:val="3A34378D"/>
    <w:rsid w:val="3A36160B"/>
    <w:rsid w:val="3A6F51D2"/>
    <w:rsid w:val="3AA50AA5"/>
    <w:rsid w:val="3AEB3C21"/>
    <w:rsid w:val="3AFB6043"/>
    <w:rsid w:val="3B041E40"/>
    <w:rsid w:val="3B191C47"/>
    <w:rsid w:val="3B205806"/>
    <w:rsid w:val="3B295FAA"/>
    <w:rsid w:val="3B5C6A72"/>
    <w:rsid w:val="3B7F2CAA"/>
    <w:rsid w:val="3BEB3716"/>
    <w:rsid w:val="3C1A13DF"/>
    <w:rsid w:val="3C3A4FEB"/>
    <w:rsid w:val="3C4F0EBB"/>
    <w:rsid w:val="3C635FA0"/>
    <w:rsid w:val="3C8659AE"/>
    <w:rsid w:val="3C942B7F"/>
    <w:rsid w:val="3CA66A58"/>
    <w:rsid w:val="3CBE3C7C"/>
    <w:rsid w:val="3CD165D4"/>
    <w:rsid w:val="3CE32014"/>
    <w:rsid w:val="3CE6704E"/>
    <w:rsid w:val="3CF316DB"/>
    <w:rsid w:val="3D39355A"/>
    <w:rsid w:val="3D3C44DD"/>
    <w:rsid w:val="3D5001A7"/>
    <w:rsid w:val="3D5B3EF0"/>
    <w:rsid w:val="3D5C58DF"/>
    <w:rsid w:val="3D9214B7"/>
    <w:rsid w:val="3DA65146"/>
    <w:rsid w:val="3DB23DD9"/>
    <w:rsid w:val="3DF57F08"/>
    <w:rsid w:val="3E143052"/>
    <w:rsid w:val="3E390C78"/>
    <w:rsid w:val="3E500D27"/>
    <w:rsid w:val="3E573ADE"/>
    <w:rsid w:val="3EA55E90"/>
    <w:rsid w:val="3ECD0998"/>
    <w:rsid w:val="3ED508CA"/>
    <w:rsid w:val="3EF25E2A"/>
    <w:rsid w:val="3F1109BC"/>
    <w:rsid w:val="3F1B7587"/>
    <w:rsid w:val="3F805B16"/>
    <w:rsid w:val="3FA42170"/>
    <w:rsid w:val="3FAF36DB"/>
    <w:rsid w:val="3FE1257F"/>
    <w:rsid w:val="405759DA"/>
    <w:rsid w:val="406A14B3"/>
    <w:rsid w:val="407C15D8"/>
    <w:rsid w:val="40837754"/>
    <w:rsid w:val="409D1B0D"/>
    <w:rsid w:val="40F97CA8"/>
    <w:rsid w:val="410B29F4"/>
    <w:rsid w:val="41171B69"/>
    <w:rsid w:val="41200E85"/>
    <w:rsid w:val="412C1F7C"/>
    <w:rsid w:val="41415E9E"/>
    <w:rsid w:val="414913C8"/>
    <w:rsid w:val="41883A8E"/>
    <w:rsid w:val="418A60B4"/>
    <w:rsid w:val="41943621"/>
    <w:rsid w:val="41B370D6"/>
    <w:rsid w:val="41B71371"/>
    <w:rsid w:val="42212582"/>
    <w:rsid w:val="42625CA5"/>
    <w:rsid w:val="42755843"/>
    <w:rsid w:val="42794CE2"/>
    <w:rsid w:val="428704C4"/>
    <w:rsid w:val="42C70708"/>
    <w:rsid w:val="42E0254C"/>
    <w:rsid w:val="42F40D67"/>
    <w:rsid w:val="43024C98"/>
    <w:rsid w:val="43066FF8"/>
    <w:rsid w:val="43083995"/>
    <w:rsid w:val="430B231C"/>
    <w:rsid w:val="43146FF6"/>
    <w:rsid w:val="433204F8"/>
    <w:rsid w:val="433C3AAA"/>
    <w:rsid w:val="4345322A"/>
    <w:rsid w:val="434C6DAF"/>
    <w:rsid w:val="43580CE8"/>
    <w:rsid w:val="43600192"/>
    <w:rsid w:val="43964A1C"/>
    <w:rsid w:val="43E22B61"/>
    <w:rsid w:val="44031DB9"/>
    <w:rsid w:val="447943E7"/>
    <w:rsid w:val="448C57E4"/>
    <w:rsid w:val="44B41FCD"/>
    <w:rsid w:val="44F46625"/>
    <w:rsid w:val="44F52628"/>
    <w:rsid w:val="454722BC"/>
    <w:rsid w:val="454C191C"/>
    <w:rsid w:val="45547C0E"/>
    <w:rsid w:val="4556652D"/>
    <w:rsid w:val="45861251"/>
    <w:rsid w:val="459911EE"/>
    <w:rsid w:val="4599227F"/>
    <w:rsid w:val="45BE024B"/>
    <w:rsid w:val="45BE2AD4"/>
    <w:rsid w:val="45C2437E"/>
    <w:rsid w:val="45EA2721"/>
    <w:rsid w:val="460A0745"/>
    <w:rsid w:val="46300B95"/>
    <w:rsid w:val="463A3C1C"/>
    <w:rsid w:val="466E6ADA"/>
    <w:rsid w:val="4699240B"/>
    <w:rsid w:val="46B7014A"/>
    <w:rsid w:val="46ED5CA5"/>
    <w:rsid w:val="46FE4C6E"/>
    <w:rsid w:val="47062AB6"/>
    <w:rsid w:val="471A6376"/>
    <w:rsid w:val="475A659D"/>
    <w:rsid w:val="476207DA"/>
    <w:rsid w:val="47944B93"/>
    <w:rsid w:val="47B14EAE"/>
    <w:rsid w:val="47C00B3A"/>
    <w:rsid w:val="47C04462"/>
    <w:rsid w:val="47C96CD1"/>
    <w:rsid w:val="47D84F8A"/>
    <w:rsid w:val="47DB6ABB"/>
    <w:rsid w:val="48083448"/>
    <w:rsid w:val="48460696"/>
    <w:rsid w:val="48690DD9"/>
    <w:rsid w:val="486B54EB"/>
    <w:rsid w:val="4887121F"/>
    <w:rsid w:val="48F702B1"/>
    <w:rsid w:val="49147605"/>
    <w:rsid w:val="491C7E92"/>
    <w:rsid w:val="492910E2"/>
    <w:rsid w:val="492E569F"/>
    <w:rsid w:val="494A1301"/>
    <w:rsid w:val="494B446A"/>
    <w:rsid w:val="494E1C27"/>
    <w:rsid w:val="4960323C"/>
    <w:rsid w:val="497F0713"/>
    <w:rsid w:val="49A36AB0"/>
    <w:rsid w:val="49A97E85"/>
    <w:rsid w:val="49D2118A"/>
    <w:rsid w:val="49D92DDD"/>
    <w:rsid w:val="49EF5321"/>
    <w:rsid w:val="4A347F6C"/>
    <w:rsid w:val="4A444508"/>
    <w:rsid w:val="4A456A14"/>
    <w:rsid w:val="4A66451F"/>
    <w:rsid w:val="4A9D0D79"/>
    <w:rsid w:val="4A9D45B8"/>
    <w:rsid w:val="4A9F545E"/>
    <w:rsid w:val="4AAB056F"/>
    <w:rsid w:val="4B08573B"/>
    <w:rsid w:val="4B626F00"/>
    <w:rsid w:val="4B743C77"/>
    <w:rsid w:val="4B8B339F"/>
    <w:rsid w:val="4BC53B5B"/>
    <w:rsid w:val="4BC802A5"/>
    <w:rsid w:val="4BE53FE4"/>
    <w:rsid w:val="4C1242C5"/>
    <w:rsid w:val="4C340FD6"/>
    <w:rsid w:val="4C4A39CC"/>
    <w:rsid w:val="4C4D4AF8"/>
    <w:rsid w:val="4C6954C4"/>
    <w:rsid w:val="4C744BB3"/>
    <w:rsid w:val="4C851F32"/>
    <w:rsid w:val="4C964045"/>
    <w:rsid w:val="4CE2366D"/>
    <w:rsid w:val="4CF364F1"/>
    <w:rsid w:val="4D010671"/>
    <w:rsid w:val="4D316B33"/>
    <w:rsid w:val="4D352FBB"/>
    <w:rsid w:val="4D743D8A"/>
    <w:rsid w:val="4D9A14C4"/>
    <w:rsid w:val="4DA96C4E"/>
    <w:rsid w:val="4DCD4142"/>
    <w:rsid w:val="4DF70A62"/>
    <w:rsid w:val="4E0614E3"/>
    <w:rsid w:val="4E2452B7"/>
    <w:rsid w:val="4E695109"/>
    <w:rsid w:val="4E9C3B92"/>
    <w:rsid w:val="4E9D6524"/>
    <w:rsid w:val="4EAD1AF9"/>
    <w:rsid w:val="4EE23C1E"/>
    <w:rsid w:val="4F1913AC"/>
    <w:rsid w:val="4F4F5A65"/>
    <w:rsid w:val="4F6426A9"/>
    <w:rsid w:val="4F7A31F5"/>
    <w:rsid w:val="4F8E1D0C"/>
    <w:rsid w:val="4FB3028B"/>
    <w:rsid w:val="4FB77179"/>
    <w:rsid w:val="4FB92CDA"/>
    <w:rsid w:val="4FE775A6"/>
    <w:rsid w:val="4FF54231"/>
    <w:rsid w:val="50077447"/>
    <w:rsid w:val="50115E97"/>
    <w:rsid w:val="502F4C40"/>
    <w:rsid w:val="50343739"/>
    <w:rsid w:val="50623802"/>
    <w:rsid w:val="50652E94"/>
    <w:rsid w:val="508700F4"/>
    <w:rsid w:val="50A970CD"/>
    <w:rsid w:val="50C72D83"/>
    <w:rsid w:val="50EC664D"/>
    <w:rsid w:val="5163596F"/>
    <w:rsid w:val="51642065"/>
    <w:rsid w:val="51895F2D"/>
    <w:rsid w:val="51A0460E"/>
    <w:rsid w:val="51A60230"/>
    <w:rsid w:val="51A823AB"/>
    <w:rsid w:val="51CC648B"/>
    <w:rsid w:val="51E202B2"/>
    <w:rsid w:val="51FC6565"/>
    <w:rsid w:val="52030FE6"/>
    <w:rsid w:val="52065DA2"/>
    <w:rsid w:val="52294007"/>
    <w:rsid w:val="522E4D5D"/>
    <w:rsid w:val="524A71B5"/>
    <w:rsid w:val="52642695"/>
    <w:rsid w:val="5279373F"/>
    <w:rsid w:val="528B1069"/>
    <w:rsid w:val="528D5BD8"/>
    <w:rsid w:val="528F0DD4"/>
    <w:rsid w:val="52930D7F"/>
    <w:rsid w:val="5296438C"/>
    <w:rsid w:val="530F2B4C"/>
    <w:rsid w:val="53144C5A"/>
    <w:rsid w:val="53186F98"/>
    <w:rsid w:val="53AE0CB6"/>
    <w:rsid w:val="53BE69F0"/>
    <w:rsid w:val="53D170F4"/>
    <w:rsid w:val="53E1541E"/>
    <w:rsid w:val="544F1C50"/>
    <w:rsid w:val="54606A92"/>
    <w:rsid w:val="54611A81"/>
    <w:rsid w:val="54DC110F"/>
    <w:rsid w:val="55563FAE"/>
    <w:rsid w:val="55671A8F"/>
    <w:rsid w:val="557D655D"/>
    <w:rsid w:val="55846FDD"/>
    <w:rsid w:val="558933C3"/>
    <w:rsid w:val="55B177EA"/>
    <w:rsid w:val="55CD48C4"/>
    <w:rsid w:val="560C425A"/>
    <w:rsid w:val="56116B32"/>
    <w:rsid w:val="562365CA"/>
    <w:rsid w:val="56340430"/>
    <w:rsid w:val="563A60ED"/>
    <w:rsid w:val="56581D59"/>
    <w:rsid w:val="568502CA"/>
    <w:rsid w:val="56B0773B"/>
    <w:rsid w:val="56C254B7"/>
    <w:rsid w:val="5709588E"/>
    <w:rsid w:val="570C5D6D"/>
    <w:rsid w:val="571760EF"/>
    <w:rsid w:val="571F7ADE"/>
    <w:rsid w:val="5778214B"/>
    <w:rsid w:val="57792910"/>
    <w:rsid w:val="5781180D"/>
    <w:rsid w:val="57C77D46"/>
    <w:rsid w:val="57CF4F1B"/>
    <w:rsid w:val="58201757"/>
    <w:rsid w:val="58514364"/>
    <w:rsid w:val="585818C8"/>
    <w:rsid w:val="58602168"/>
    <w:rsid w:val="5860738B"/>
    <w:rsid w:val="58AB4E89"/>
    <w:rsid w:val="58AD7356"/>
    <w:rsid w:val="58B5550E"/>
    <w:rsid w:val="58BD5C76"/>
    <w:rsid w:val="58C11261"/>
    <w:rsid w:val="58C34E9B"/>
    <w:rsid w:val="58CB74D0"/>
    <w:rsid w:val="58D20175"/>
    <w:rsid w:val="591A393C"/>
    <w:rsid w:val="59303772"/>
    <w:rsid w:val="59340E0B"/>
    <w:rsid w:val="59854F0A"/>
    <w:rsid w:val="59975605"/>
    <w:rsid w:val="59AD7B0E"/>
    <w:rsid w:val="59CD28EC"/>
    <w:rsid w:val="59D55070"/>
    <w:rsid w:val="59D55FBA"/>
    <w:rsid w:val="59DA18AC"/>
    <w:rsid w:val="59E546A4"/>
    <w:rsid w:val="59FD6E5D"/>
    <w:rsid w:val="5A2F5AF5"/>
    <w:rsid w:val="5A4439EB"/>
    <w:rsid w:val="5A637B38"/>
    <w:rsid w:val="5A8C0168"/>
    <w:rsid w:val="5A8D1386"/>
    <w:rsid w:val="5A93303B"/>
    <w:rsid w:val="5ABB6C3C"/>
    <w:rsid w:val="5AC245CB"/>
    <w:rsid w:val="5ACD77B4"/>
    <w:rsid w:val="5AF81615"/>
    <w:rsid w:val="5AFF7905"/>
    <w:rsid w:val="5B1836AE"/>
    <w:rsid w:val="5B492C91"/>
    <w:rsid w:val="5B5D57A1"/>
    <w:rsid w:val="5B6B15AA"/>
    <w:rsid w:val="5B987BF7"/>
    <w:rsid w:val="5BAF6495"/>
    <w:rsid w:val="5BF25754"/>
    <w:rsid w:val="5C1271C4"/>
    <w:rsid w:val="5C1E13B0"/>
    <w:rsid w:val="5C1E7291"/>
    <w:rsid w:val="5C662A50"/>
    <w:rsid w:val="5C9D06C7"/>
    <w:rsid w:val="5CA61CCA"/>
    <w:rsid w:val="5CC73DD6"/>
    <w:rsid w:val="5CEA2522"/>
    <w:rsid w:val="5CF2777D"/>
    <w:rsid w:val="5D0D01B7"/>
    <w:rsid w:val="5D2708E3"/>
    <w:rsid w:val="5D664D05"/>
    <w:rsid w:val="5D6E48CE"/>
    <w:rsid w:val="5D7C584C"/>
    <w:rsid w:val="5D7F0635"/>
    <w:rsid w:val="5D894E7F"/>
    <w:rsid w:val="5D8D080D"/>
    <w:rsid w:val="5D935CE3"/>
    <w:rsid w:val="5DA402F0"/>
    <w:rsid w:val="5DBF6493"/>
    <w:rsid w:val="5DC05209"/>
    <w:rsid w:val="5DC12605"/>
    <w:rsid w:val="5E000CA6"/>
    <w:rsid w:val="5E3A6AA2"/>
    <w:rsid w:val="5E3E4C2D"/>
    <w:rsid w:val="5E5867E1"/>
    <w:rsid w:val="5E674F7E"/>
    <w:rsid w:val="5E874CE8"/>
    <w:rsid w:val="5E9D1B20"/>
    <w:rsid w:val="5EB00E5C"/>
    <w:rsid w:val="5ED35331"/>
    <w:rsid w:val="5EE37831"/>
    <w:rsid w:val="5EEB7859"/>
    <w:rsid w:val="5F0A3D5F"/>
    <w:rsid w:val="5F213F68"/>
    <w:rsid w:val="5F2F6349"/>
    <w:rsid w:val="5F583929"/>
    <w:rsid w:val="5F600D4E"/>
    <w:rsid w:val="5F883F49"/>
    <w:rsid w:val="5F8E3078"/>
    <w:rsid w:val="5F956DDF"/>
    <w:rsid w:val="5F991667"/>
    <w:rsid w:val="5FA416F1"/>
    <w:rsid w:val="5FD93954"/>
    <w:rsid w:val="5FDC55D3"/>
    <w:rsid w:val="5FF469EE"/>
    <w:rsid w:val="5FFB0094"/>
    <w:rsid w:val="60160416"/>
    <w:rsid w:val="60211CCF"/>
    <w:rsid w:val="60305CC7"/>
    <w:rsid w:val="604A1238"/>
    <w:rsid w:val="606107A7"/>
    <w:rsid w:val="609D4E6C"/>
    <w:rsid w:val="60A62DBA"/>
    <w:rsid w:val="60C03CCF"/>
    <w:rsid w:val="60D42D03"/>
    <w:rsid w:val="60E62C9D"/>
    <w:rsid w:val="611B62E0"/>
    <w:rsid w:val="615E501E"/>
    <w:rsid w:val="6180773A"/>
    <w:rsid w:val="618B0BA0"/>
    <w:rsid w:val="61A06374"/>
    <w:rsid w:val="6221139D"/>
    <w:rsid w:val="622470A5"/>
    <w:rsid w:val="62247F4C"/>
    <w:rsid w:val="622540F5"/>
    <w:rsid w:val="622D2FAA"/>
    <w:rsid w:val="624375DB"/>
    <w:rsid w:val="625D25EA"/>
    <w:rsid w:val="62857C4E"/>
    <w:rsid w:val="6286607D"/>
    <w:rsid w:val="62A62781"/>
    <w:rsid w:val="62E05FC6"/>
    <w:rsid w:val="62E53885"/>
    <w:rsid w:val="62FD3864"/>
    <w:rsid w:val="63464F7D"/>
    <w:rsid w:val="634B0772"/>
    <w:rsid w:val="636E7A2E"/>
    <w:rsid w:val="63815A2A"/>
    <w:rsid w:val="63877E7E"/>
    <w:rsid w:val="63BF7E8E"/>
    <w:rsid w:val="63C01CBD"/>
    <w:rsid w:val="63EC3837"/>
    <w:rsid w:val="63FC4F9D"/>
    <w:rsid w:val="640A3035"/>
    <w:rsid w:val="643F3D04"/>
    <w:rsid w:val="644204E6"/>
    <w:rsid w:val="64635DFB"/>
    <w:rsid w:val="64683A23"/>
    <w:rsid w:val="64942E6C"/>
    <w:rsid w:val="64AF3910"/>
    <w:rsid w:val="64BC2C9E"/>
    <w:rsid w:val="64C626B7"/>
    <w:rsid w:val="64E918AA"/>
    <w:rsid w:val="65252157"/>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D63EC7"/>
    <w:rsid w:val="68DC73EC"/>
    <w:rsid w:val="69054B5C"/>
    <w:rsid w:val="69293200"/>
    <w:rsid w:val="694347AF"/>
    <w:rsid w:val="694F06EB"/>
    <w:rsid w:val="6963607F"/>
    <w:rsid w:val="696403F8"/>
    <w:rsid w:val="69766916"/>
    <w:rsid w:val="698D63CB"/>
    <w:rsid w:val="698F77F4"/>
    <w:rsid w:val="69B23B9D"/>
    <w:rsid w:val="69B5510C"/>
    <w:rsid w:val="69E82867"/>
    <w:rsid w:val="6A086F70"/>
    <w:rsid w:val="6A2C3B47"/>
    <w:rsid w:val="6A540655"/>
    <w:rsid w:val="6A5B510D"/>
    <w:rsid w:val="6A5F2917"/>
    <w:rsid w:val="6A8D4C80"/>
    <w:rsid w:val="6AA159CB"/>
    <w:rsid w:val="6AA26939"/>
    <w:rsid w:val="6ACB1DCC"/>
    <w:rsid w:val="6AD50437"/>
    <w:rsid w:val="6AE4041A"/>
    <w:rsid w:val="6AEE57CB"/>
    <w:rsid w:val="6B0358FC"/>
    <w:rsid w:val="6B057F21"/>
    <w:rsid w:val="6B3030A0"/>
    <w:rsid w:val="6B3E2D98"/>
    <w:rsid w:val="6B417EB3"/>
    <w:rsid w:val="6B5F34DB"/>
    <w:rsid w:val="6B707214"/>
    <w:rsid w:val="6B9C69D2"/>
    <w:rsid w:val="6BB104FC"/>
    <w:rsid w:val="6BC75657"/>
    <w:rsid w:val="6BD126F0"/>
    <w:rsid w:val="6BE1773A"/>
    <w:rsid w:val="6BE35659"/>
    <w:rsid w:val="6C2B66F7"/>
    <w:rsid w:val="6C5437FF"/>
    <w:rsid w:val="6C56491E"/>
    <w:rsid w:val="6C5B64F3"/>
    <w:rsid w:val="6C872F0E"/>
    <w:rsid w:val="6CB84F3A"/>
    <w:rsid w:val="6D05726A"/>
    <w:rsid w:val="6D340FE2"/>
    <w:rsid w:val="6D5172EC"/>
    <w:rsid w:val="6D673555"/>
    <w:rsid w:val="6D717C1E"/>
    <w:rsid w:val="6D91263F"/>
    <w:rsid w:val="6D92611A"/>
    <w:rsid w:val="6D981B81"/>
    <w:rsid w:val="6D994274"/>
    <w:rsid w:val="6DA9204B"/>
    <w:rsid w:val="6DB90857"/>
    <w:rsid w:val="6DC267F1"/>
    <w:rsid w:val="6E032FC6"/>
    <w:rsid w:val="6E083615"/>
    <w:rsid w:val="6E0D26B4"/>
    <w:rsid w:val="6E146DCC"/>
    <w:rsid w:val="6E360FB8"/>
    <w:rsid w:val="6E44084F"/>
    <w:rsid w:val="6E4F3DA5"/>
    <w:rsid w:val="6E5D06EF"/>
    <w:rsid w:val="6E6F0BB4"/>
    <w:rsid w:val="6E6F1D57"/>
    <w:rsid w:val="6E7A62E4"/>
    <w:rsid w:val="6E9D2927"/>
    <w:rsid w:val="6EB25B0B"/>
    <w:rsid w:val="6EB80BA0"/>
    <w:rsid w:val="6ED37D90"/>
    <w:rsid w:val="6EE964AB"/>
    <w:rsid w:val="6F00046B"/>
    <w:rsid w:val="6F065AB6"/>
    <w:rsid w:val="6F3364F9"/>
    <w:rsid w:val="6F441647"/>
    <w:rsid w:val="6F4D0F66"/>
    <w:rsid w:val="6F505503"/>
    <w:rsid w:val="6F57424B"/>
    <w:rsid w:val="6F612830"/>
    <w:rsid w:val="6F9E5543"/>
    <w:rsid w:val="6FD10B10"/>
    <w:rsid w:val="6FE61F22"/>
    <w:rsid w:val="6FFD00DA"/>
    <w:rsid w:val="70352925"/>
    <w:rsid w:val="70505871"/>
    <w:rsid w:val="7059136B"/>
    <w:rsid w:val="7067165B"/>
    <w:rsid w:val="706B4405"/>
    <w:rsid w:val="70801B07"/>
    <w:rsid w:val="70837266"/>
    <w:rsid w:val="709A7A5C"/>
    <w:rsid w:val="70A1406F"/>
    <w:rsid w:val="70B0465E"/>
    <w:rsid w:val="70FE623D"/>
    <w:rsid w:val="71233682"/>
    <w:rsid w:val="71492A71"/>
    <w:rsid w:val="715B3C2A"/>
    <w:rsid w:val="717A163C"/>
    <w:rsid w:val="71803C89"/>
    <w:rsid w:val="71994E64"/>
    <w:rsid w:val="71CA7676"/>
    <w:rsid w:val="71E05943"/>
    <w:rsid w:val="71EA7695"/>
    <w:rsid w:val="71EE7FB9"/>
    <w:rsid w:val="72536FDC"/>
    <w:rsid w:val="726D181E"/>
    <w:rsid w:val="727D75DF"/>
    <w:rsid w:val="72A63925"/>
    <w:rsid w:val="72BB74DD"/>
    <w:rsid w:val="72CC013F"/>
    <w:rsid w:val="72D36E77"/>
    <w:rsid w:val="72DD2BAD"/>
    <w:rsid w:val="72FB66FD"/>
    <w:rsid w:val="73020D5E"/>
    <w:rsid w:val="732872C5"/>
    <w:rsid w:val="7360086A"/>
    <w:rsid w:val="739A0DC0"/>
    <w:rsid w:val="73B920B2"/>
    <w:rsid w:val="74085669"/>
    <w:rsid w:val="740A4EF9"/>
    <w:rsid w:val="74412921"/>
    <w:rsid w:val="74594423"/>
    <w:rsid w:val="7475710D"/>
    <w:rsid w:val="747621BD"/>
    <w:rsid w:val="74E60A71"/>
    <w:rsid w:val="74F17E67"/>
    <w:rsid w:val="750337C6"/>
    <w:rsid w:val="75086A21"/>
    <w:rsid w:val="750B356A"/>
    <w:rsid w:val="750C4DDC"/>
    <w:rsid w:val="7510569F"/>
    <w:rsid w:val="756950CA"/>
    <w:rsid w:val="75922EAF"/>
    <w:rsid w:val="75AD28A1"/>
    <w:rsid w:val="75C224B9"/>
    <w:rsid w:val="76013E56"/>
    <w:rsid w:val="760A7D9D"/>
    <w:rsid w:val="76233B7C"/>
    <w:rsid w:val="76335855"/>
    <w:rsid w:val="763E51CC"/>
    <w:rsid w:val="76465F91"/>
    <w:rsid w:val="766026E6"/>
    <w:rsid w:val="76B770A6"/>
    <w:rsid w:val="76CE7275"/>
    <w:rsid w:val="76E4362B"/>
    <w:rsid w:val="770A1659"/>
    <w:rsid w:val="7711659E"/>
    <w:rsid w:val="7712242B"/>
    <w:rsid w:val="771F60E4"/>
    <w:rsid w:val="77231D40"/>
    <w:rsid w:val="773A7A8E"/>
    <w:rsid w:val="77466345"/>
    <w:rsid w:val="77471485"/>
    <w:rsid w:val="77825F67"/>
    <w:rsid w:val="77951211"/>
    <w:rsid w:val="77B91A42"/>
    <w:rsid w:val="77C5780E"/>
    <w:rsid w:val="77E26D03"/>
    <w:rsid w:val="77FE04E7"/>
    <w:rsid w:val="782F327E"/>
    <w:rsid w:val="78397A32"/>
    <w:rsid w:val="78A06277"/>
    <w:rsid w:val="78C64F8E"/>
    <w:rsid w:val="79105016"/>
    <w:rsid w:val="791A1EB8"/>
    <w:rsid w:val="791E4FA3"/>
    <w:rsid w:val="797167CA"/>
    <w:rsid w:val="798E4E1E"/>
    <w:rsid w:val="799E2AB3"/>
    <w:rsid w:val="79A37A59"/>
    <w:rsid w:val="79C61A14"/>
    <w:rsid w:val="79C85435"/>
    <w:rsid w:val="79D16AD3"/>
    <w:rsid w:val="79EE5B89"/>
    <w:rsid w:val="79F05A1B"/>
    <w:rsid w:val="7A020CA3"/>
    <w:rsid w:val="7A067805"/>
    <w:rsid w:val="7A3666CE"/>
    <w:rsid w:val="7A376AEF"/>
    <w:rsid w:val="7A3E570B"/>
    <w:rsid w:val="7A627545"/>
    <w:rsid w:val="7A811C50"/>
    <w:rsid w:val="7AA408FA"/>
    <w:rsid w:val="7B123707"/>
    <w:rsid w:val="7B236D19"/>
    <w:rsid w:val="7B307625"/>
    <w:rsid w:val="7B347CEC"/>
    <w:rsid w:val="7B576B4E"/>
    <w:rsid w:val="7B761608"/>
    <w:rsid w:val="7B87133C"/>
    <w:rsid w:val="7B9234A2"/>
    <w:rsid w:val="7C105077"/>
    <w:rsid w:val="7C240B22"/>
    <w:rsid w:val="7C3810A9"/>
    <w:rsid w:val="7C416F95"/>
    <w:rsid w:val="7C4E5B9F"/>
    <w:rsid w:val="7C580760"/>
    <w:rsid w:val="7C8B3404"/>
    <w:rsid w:val="7C8D6ADA"/>
    <w:rsid w:val="7C9C47E0"/>
    <w:rsid w:val="7C9E070C"/>
    <w:rsid w:val="7CAE22D0"/>
    <w:rsid w:val="7CBB152F"/>
    <w:rsid w:val="7D2C343C"/>
    <w:rsid w:val="7D4C3183"/>
    <w:rsid w:val="7D5D12E3"/>
    <w:rsid w:val="7D5F378A"/>
    <w:rsid w:val="7D9314F6"/>
    <w:rsid w:val="7D9B2963"/>
    <w:rsid w:val="7D9C06C0"/>
    <w:rsid w:val="7DBE5AB2"/>
    <w:rsid w:val="7DDB441F"/>
    <w:rsid w:val="7E4B1AB3"/>
    <w:rsid w:val="7E58216F"/>
    <w:rsid w:val="7E58478A"/>
    <w:rsid w:val="7E70415D"/>
    <w:rsid w:val="7E7F1745"/>
    <w:rsid w:val="7E886BD8"/>
    <w:rsid w:val="7E922F1E"/>
    <w:rsid w:val="7E9C1A45"/>
    <w:rsid w:val="7EEF7176"/>
    <w:rsid w:val="7F044E27"/>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2044</Words>
  <Characters>10688</Characters>
  <Lines>49</Lines>
  <Paragraphs>13</Paragraphs>
  <TotalTime>4</TotalTime>
  <ScaleCrop>false</ScaleCrop>
  <LinksUpToDate>false</LinksUpToDate>
  <CharactersWithSpaces>12752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2024-08-09T08:08:02Z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EB4A73D97B19496985C87E207E3DD07E_13</vt:lpwstr>
  </property>
</Properties>
</file>